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8D7" w:rsidRPr="00C328D7" w:rsidRDefault="00C328D7" w:rsidP="00C328D7">
      <w:pPr>
        <w:jc w:val="center"/>
        <w:rPr>
          <w:rFonts w:ascii="Arial" w:hAnsi="Arial" w:cs="Arial"/>
          <w:b/>
          <w:color w:val="002060"/>
          <w:sz w:val="32"/>
          <w:szCs w:val="32"/>
        </w:rPr>
      </w:pPr>
      <w:r w:rsidRPr="00C328D7">
        <w:rPr>
          <w:rFonts w:ascii="Arial" w:hAnsi="Arial" w:cs="Arial"/>
          <w:b/>
          <w:color w:val="002060"/>
          <w:sz w:val="32"/>
          <w:szCs w:val="32"/>
        </w:rPr>
        <w:t>EXPLANATION OF AREAS OF LAW</w:t>
      </w:r>
    </w:p>
    <w:p w:rsidR="00C328D7" w:rsidRPr="00C328D7" w:rsidRDefault="00C328D7" w:rsidP="00C328D7">
      <w:pPr>
        <w:rPr>
          <w:rFonts w:ascii="Arial" w:hAnsi="Arial" w:cs="Arial"/>
          <w:sz w:val="24"/>
          <w:szCs w:val="24"/>
        </w:rPr>
      </w:pPr>
      <w:r w:rsidRPr="00C328D7">
        <w:rPr>
          <w:rFonts w:ascii="Arial" w:hAnsi="Arial" w:cs="Arial"/>
          <w:sz w:val="24"/>
          <w:szCs w:val="24"/>
        </w:rPr>
        <w:t xml:space="preserve">Some Areas of Law are self-explanatory. However, other Areas of Law will incorporate numerous matters, as described below.  </w:t>
      </w:r>
    </w:p>
    <w:p w:rsidR="00C328D7" w:rsidRPr="00C328D7" w:rsidRDefault="00C328D7" w:rsidP="00C328D7">
      <w:pPr>
        <w:pStyle w:val="Heading2"/>
        <w:shd w:val="clear" w:color="auto" w:fill="002060"/>
        <w:spacing w:before="240" w:after="120"/>
        <w:rPr>
          <w:rFonts w:cs="Arial"/>
          <w:szCs w:val="24"/>
        </w:rPr>
      </w:pPr>
      <w:bookmarkStart w:id="0" w:name="_Toc437355254"/>
      <w:r w:rsidRPr="00C328D7">
        <w:rPr>
          <w:rFonts w:cs="Arial"/>
          <w:szCs w:val="24"/>
        </w:rPr>
        <w:t xml:space="preserve">Sub Panel 1 – </w:t>
      </w:r>
      <w:bookmarkEnd w:id="0"/>
      <w:r w:rsidRPr="00C328D7">
        <w:rPr>
          <w:rFonts w:cs="Arial"/>
          <w:szCs w:val="24"/>
        </w:rPr>
        <w:t>Construction</w:t>
      </w:r>
    </w:p>
    <w:p w:rsidR="00C328D7" w:rsidRPr="00C328D7" w:rsidRDefault="00C328D7" w:rsidP="00C328D7">
      <w:pPr>
        <w:pStyle w:val="ListParagraph"/>
        <w:numPr>
          <w:ilvl w:val="0"/>
          <w:numId w:val="1"/>
        </w:numPr>
        <w:tabs>
          <w:tab w:val="left" w:pos="567"/>
        </w:tabs>
        <w:spacing w:before="120" w:after="120"/>
        <w:ind w:left="567" w:hanging="567"/>
        <w:contextualSpacing w:val="0"/>
        <w:rPr>
          <w:rFonts w:ascii="Arial" w:hAnsi="Arial" w:cs="Arial"/>
          <w:b/>
          <w:sz w:val="22"/>
          <w:szCs w:val="22"/>
        </w:rPr>
      </w:pPr>
      <w:r w:rsidRPr="00C328D7">
        <w:rPr>
          <w:rFonts w:ascii="Arial" w:hAnsi="Arial" w:cs="Arial"/>
          <w:b/>
          <w:sz w:val="22"/>
          <w:szCs w:val="22"/>
        </w:rPr>
        <w:t>Construction</w:t>
      </w:r>
    </w:p>
    <w:p w:rsidR="00C328D7" w:rsidRPr="00C328D7" w:rsidRDefault="00C328D7" w:rsidP="00C328D7">
      <w:pPr>
        <w:pStyle w:val="ListParagraph"/>
        <w:numPr>
          <w:ilvl w:val="0"/>
          <w:numId w:val="1"/>
        </w:numPr>
        <w:tabs>
          <w:tab w:val="left" w:pos="567"/>
        </w:tabs>
        <w:spacing w:before="120" w:after="120"/>
        <w:ind w:left="567" w:hanging="567"/>
        <w:contextualSpacing w:val="0"/>
        <w:rPr>
          <w:rFonts w:ascii="Arial" w:hAnsi="Arial" w:cs="Arial"/>
          <w:b/>
          <w:sz w:val="22"/>
          <w:szCs w:val="22"/>
        </w:rPr>
      </w:pPr>
      <w:r w:rsidRPr="00C328D7">
        <w:rPr>
          <w:rFonts w:ascii="Arial" w:hAnsi="Arial" w:cs="Arial"/>
          <w:b/>
          <w:sz w:val="22"/>
          <w:szCs w:val="22"/>
        </w:rPr>
        <w:t>Major infrastructure projects</w:t>
      </w:r>
    </w:p>
    <w:p w:rsidR="00C328D7" w:rsidRPr="00C328D7" w:rsidRDefault="00C328D7" w:rsidP="00C328D7">
      <w:pPr>
        <w:pStyle w:val="ListParagraph"/>
        <w:numPr>
          <w:ilvl w:val="0"/>
          <w:numId w:val="1"/>
        </w:numPr>
        <w:tabs>
          <w:tab w:val="left" w:pos="567"/>
        </w:tabs>
        <w:spacing w:before="120" w:after="120"/>
        <w:ind w:left="567" w:hanging="567"/>
        <w:contextualSpacing w:val="0"/>
        <w:rPr>
          <w:rFonts w:ascii="Arial" w:hAnsi="Arial" w:cs="Arial"/>
          <w:sz w:val="22"/>
          <w:szCs w:val="22"/>
        </w:rPr>
      </w:pPr>
      <w:r w:rsidRPr="00C328D7">
        <w:rPr>
          <w:rFonts w:ascii="Arial" w:hAnsi="Arial" w:cs="Arial"/>
          <w:b/>
          <w:sz w:val="22"/>
          <w:szCs w:val="22"/>
        </w:rPr>
        <w:t>PPPs and associated transactions</w:t>
      </w:r>
      <w:r w:rsidRPr="00C328D7">
        <w:rPr>
          <w:rFonts w:ascii="Arial" w:hAnsi="Arial" w:cs="Arial"/>
          <w:sz w:val="22"/>
          <w:szCs w:val="22"/>
        </w:rPr>
        <w:t>, including review and advice on debt and equity project funding, construction and operational matters.</w:t>
      </w:r>
    </w:p>
    <w:p w:rsidR="00C328D7" w:rsidRPr="00C328D7" w:rsidRDefault="00C328D7" w:rsidP="00C328D7">
      <w:pPr>
        <w:pStyle w:val="ListParagraph"/>
        <w:numPr>
          <w:ilvl w:val="0"/>
          <w:numId w:val="1"/>
        </w:numPr>
        <w:tabs>
          <w:tab w:val="left" w:pos="567"/>
        </w:tabs>
        <w:spacing w:before="120" w:after="120"/>
        <w:ind w:left="567" w:hanging="567"/>
        <w:contextualSpacing w:val="0"/>
        <w:rPr>
          <w:rFonts w:ascii="Arial" w:hAnsi="Arial" w:cs="Arial"/>
          <w:sz w:val="22"/>
          <w:szCs w:val="22"/>
        </w:rPr>
      </w:pPr>
      <w:r w:rsidRPr="00C328D7">
        <w:rPr>
          <w:rFonts w:ascii="Arial" w:hAnsi="Arial" w:cs="Arial"/>
          <w:b/>
          <w:sz w:val="22"/>
          <w:szCs w:val="22"/>
        </w:rPr>
        <w:t>Construction related dispute resolution and  arbitration</w:t>
      </w:r>
      <w:r w:rsidRPr="00C328D7">
        <w:rPr>
          <w:rFonts w:ascii="Arial" w:hAnsi="Arial" w:cs="Arial"/>
          <w:sz w:val="22"/>
          <w:szCs w:val="22"/>
        </w:rPr>
        <w:t>, which may include:</w:t>
      </w:r>
    </w:p>
    <w:p w:rsidR="00C328D7" w:rsidRPr="00C328D7" w:rsidRDefault="00C328D7" w:rsidP="00C328D7">
      <w:pPr>
        <w:pStyle w:val="ListParagraph"/>
        <w:numPr>
          <w:ilvl w:val="0"/>
          <w:numId w:val="2"/>
        </w:numPr>
        <w:tabs>
          <w:tab w:val="left" w:pos="567"/>
        </w:tabs>
        <w:spacing w:before="40" w:after="40"/>
        <w:ind w:left="924" w:hanging="357"/>
        <w:contextualSpacing w:val="0"/>
        <w:rPr>
          <w:rFonts w:ascii="Arial" w:hAnsi="Arial" w:cs="Arial"/>
          <w:sz w:val="22"/>
          <w:szCs w:val="22"/>
        </w:rPr>
      </w:pPr>
      <w:r w:rsidRPr="00C328D7">
        <w:rPr>
          <w:rFonts w:ascii="Arial" w:hAnsi="Arial" w:cs="Arial"/>
          <w:sz w:val="22"/>
          <w:szCs w:val="22"/>
        </w:rPr>
        <w:t>SOPA claims/adjudications</w:t>
      </w:r>
    </w:p>
    <w:p w:rsidR="00C328D7" w:rsidRPr="00C328D7" w:rsidRDefault="00C328D7" w:rsidP="00C328D7">
      <w:pPr>
        <w:pStyle w:val="ListParagraph"/>
        <w:numPr>
          <w:ilvl w:val="0"/>
          <w:numId w:val="2"/>
        </w:numPr>
        <w:tabs>
          <w:tab w:val="left" w:pos="567"/>
        </w:tabs>
        <w:spacing w:before="40" w:after="40"/>
        <w:ind w:left="924" w:hanging="357"/>
        <w:contextualSpacing w:val="0"/>
        <w:rPr>
          <w:rFonts w:ascii="Arial" w:hAnsi="Arial" w:cs="Arial"/>
          <w:sz w:val="22"/>
          <w:szCs w:val="22"/>
        </w:rPr>
      </w:pPr>
      <w:r w:rsidRPr="00C328D7">
        <w:rPr>
          <w:rFonts w:ascii="Arial" w:hAnsi="Arial" w:cs="Arial"/>
          <w:sz w:val="22"/>
          <w:szCs w:val="22"/>
        </w:rPr>
        <w:t>Expert determination</w:t>
      </w:r>
    </w:p>
    <w:p w:rsidR="00C328D7" w:rsidRPr="00C328D7" w:rsidRDefault="00C328D7" w:rsidP="00C328D7">
      <w:pPr>
        <w:pStyle w:val="ListParagraph"/>
        <w:numPr>
          <w:ilvl w:val="0"/>
          <w:numId w:val="2"/>
        </w:numPr>
        <w:tabs>
          <w:tab w:val="left" w:pos="567"/>
        </w:tabs>
        <w:spacing w:before="40" w:after="40"/>
        <w:ind w:left="924" w:hanging="357"/>
        <w:contextualSpacing w:val="0"/>
        <w:rPr>
          <w:rFonts w:ascii="Arial" w:hAnsi="Arial" w:cs="Arial"/>
          <w:sz w:val="22"/>
          <w:szCs w:val="22"/>
        </w:rPr>
      </w:pPr>
      <w:r w:rsidRPr="00C328D7">
        <w:rPr>
          <w:rFonts w:ascii="Arial" w:hAnsi="Arial" w:cs="Arial"/>
          <w:sz w:val="22"/>
          <w:szCs w:val="22"/>
        </w:rPr>
        <w:t>Arbitration and other forms of alternative dispute resolution</w:t>
      </w:r>
    </w:p>
    <w:p w:rsidR="00C328D7" w:rsidRPr="00C328D7" w:rsidRDefault="00C328D7" w:rsidP="00C328D7">
      <w:pPr>
        <w:pStyle w:val="ListParagraph"/>
        <w:numPr>
          <w:ilvl w:val="0"/>
          <w:numId w:val="2"/>
        </w:numPr>
        <w:tabs>
          <w:tab w:val="left" w:pos="567"/>
        </w:tabs>
        <w:spacing w:before="40" w:after="40"/>
        <w:ind w:left="924" w:hanging="357"/>
        <w:contextualSpacing w:val="0"/>
        <w:rPr>
          <w:rFonts w:ascii="Arial" w:hAnsi="Arial" w:cs="Arial"/>
          <w:sz w:val="22"/>
          <w:szCs w:val="22"/>
        </w:rPr>
      </w:pPr>
      <w:r w:rsidRPr="00C328D7">
        <w:rPr>
          <w:rFonts w:ascii="Arial" w:hAnsi="Arial" w:cs="Arial"/>
          <w:sz w:val="22"/>
          <w:szCs w:val="22"/>
        </w:rPr>
        <w:t>Litigation</w:t>
      </w:r>
    </w:p>
    <w:p w:rsidR="00C328D7" w:rsidRPr="00C328D7" w:rsidRDefault="00C328D7" w:rsidP="00C328D7">
      <w:pPr>
        <w:pStyle w:val="Heading2"/>
        <w:shd w:val="clear" w:color="auto" w:fill="002060"/>
        <w:spacing w:before="240" w:after="120"/>
        <w:rPr>
          <w:rFonts w:cs="Arial"/>
          <w:szCs w:val="24"/>
        </w:rPr>
      </w:pPr>
      <w:bookmarkStart w:id="1" w:name="_Toc437355255"/>
      <w:r w:rsidRPr="00C328D7">
        <w:rPr>
          <w:rFonts w:cs="Arial"/>
          <w:szCs w:val="24"/>
        </w:rPr>
        <w:t xml:space="preserve">Sub Panel 2 – Commercial </w:t>
      </w:r>
      <w:bookmarkEnd w:id="1"/>
    </w:p>
    <w:p w:rsidR="00C328D7" w:rsidRPr="00C328D7" w:rsidRDefault="00C328D7" w:rsidP="00C328D7">
      <w:pPr>
        <w:pStyle w:val="ListParagraph"/>
        <w:numPr>
          <w:ilvl w:val="0"/>
          <w:numId w:val="3"/>
        </w:numPr>
        <w:tabs>
          <w:tab w:val="left" w:pos="567"/>
        </w:tabs>
        <w:spacing w:before="120" w:after="120"/>
        <w:ind w:left="567" w:hanging="567"/>
        <w:contextualSpacing w:val="0"/>
        <w:rPr>
          <w:rFonts w:ascii="Arial" w:hAnsi="Arial" w:cs="Arial"/>
          <w:b/>
          <w:sz w:val="22"/>
          <w:szCs w:val="22"/>
        </w:rPr>
      </w:pPr>
      <w:r w:rsidRPr="00C328D7">
        <w:rPr>
          <w:rFonts w:ascii="Arial" w:hAnsi="Arial" w:cs="Arial"/>
          <w:b/>
          <w:sz w:val="22"/>
          <w:szCs w:val="22"/>
        </w:rPr>
        <w:t xml:space="preserve">Commercial and contractual matters </w:t>
      </w:r>
      <w:r w:rsidRPr="00C328D7">
        <w:rPr>
          <w:rFonts w:ascii="Arial" w:hAnsi="Arial" w:cs="Arial"/>
          <w:sz w:val="22"/>
          <w:szCs w:val="22"/>
        </w:rPr>
        <w:t>including:</w:t>
      </w:r>
    </w:p>
    <w:p w:rsidR="00C328D7" w:rsidRPr="00C328D7" w:rsidRDefault="00C328D7" w:rsidP="00C328D7">
      <w:pPr>
        <w:pStyle w:val="ListParagraph"/>
        <w:numPr>
          <w:ilvl w:val="0"/>
          <w:numId w:val="2"/>
        </w:numPr>
        <w:tabs>
          <w:tab w:val="left" w:pos="567"/>
        </w:tabs>
        <w:spacing w:before="40" w:after="40"/>
        <w:ind w:left="924" w:hanging="357"/>
        <w:contextualSpacing w:val="0"/>
        <w:rPr>
          <w:rFonts w:ascii="Arial" w:hAnsi="Arial" w:cs="Arial"/>
          <w:sz w:val="22"/>
          <w:szCs w:val="22"/>
        </w:rPr>
      </w:pPr>
      <w:r w:rsidRPr="00C328D7">
        <w:rPr>
          <w:rFonts w:ascii="Arial" w:hAnsi="Arial" w:cs="Arial"/>
          <w:sz w:val="22"/>
          <w:szCs w:val="22"/>
        </w:rPr>
        <w:t>Tendering and procurement</w:t>
      </w:r>
    </w:p>
    <w:p w:rsidR="00C328D7" w:rsidRPr="00C328D7" w:rsidRDefault="00C328D7" w:rsidP="00C328D7">
      <w:pPr>
        <w:pStyle w:val="ListParagraph"/>
        <w:numPr>
          <w:ilvl w:val="0"/>
          <w:numId w:val="2"/>
        </w:numPr>
        <w:tabs>
          <w:tab w:val="left" w:pos="567"/>
        </w:tabs>
        <w:spacing w:before="40" w:after="40"/>
        <w:ind w:left="924" w:hanging="357"/>
        <w:contextualSpacing w:val="0"/>
        <w:rPr>
          <w:rFonts w:ascii="Arial" w:hAnsi="Arial" w:cs="Arial"/>
          <w:sz w:val="22"/>
          <w:szCs w:val="22"/>
        </w:rPr>
      </w:pPr>
      <w:r w:rsidRPr="00C328D7">
        <w:rPr>
          <w:rFonts w:ascii="Arial" w:hAnsi="Arial" w:cs="Arial"/>
          <w:sz w:val="22"/>
          <w:szCs w:val="22"/>
        </w:rPr>
        <w:t xml:space="preserve">Professional services and consultancy agreements </w:t>
      </w:r>
    </w:p>
    <w:p w:rsidR="00C328D7" w:rsidRPr="00C328D7" w:rsidRDefault="00C328D7" w:rsidP="00C328D7">
      <w:pPr>
        <w:pStyle w:val="ListParagraph"/>
        <w:numPr>
          <w:ilvl w:val="0"/>
          <w:numId w:val="2"/>
        </w:numPr>
        <w:tabs>
          <w:tab w:val="left" w:pos="567"/>
        </w:tabs>
        <w:spacing w:before="40" w:after="40"/>
        <w:ind w:left="924" w:hanging="357"/>
        <w:contextualSpacing w:val="0"/>
        <w:rPr>
          <w:rFonts w:ascii="Arial" w:hAnsi="Arial" w:cs="Arial"/>
          <w:sz w:val="22"/>
          <w:szCs w:val="22"/>
        </w:rPr>
      </w:pPr>
      <w:r w:rsidRPr="00C328D7">
        <w:rPr>
          <w:rFonts w:ascii="Arial" w:hAnsi="Arial" w:cs="Arial"/>
          <w:sz w:val="22"/>
          <w:szCs w:val="22"/>
        </w:rPr>
        <w:t>MoUs and inter-agency agreements</w:t>
      </w:r>
    </w:p>
    <w:p w:rsidR="00C328D7" w:rsidRPr="00C328D7" w:rsidRDefault="00C328D7" w:rsidP="00C328D7">
      <w:pPr>
        <w:pStyle w:val="ListParagraph"/>
        <w:numPr>
          <w:ilvl w:val="0"/>
          <w:numId w:val="2"/>
        </w:numPr>
        <w:tabs>
          <w:tab w:val="left" w:pos="567"/>
        </w:tabs>
        <w:spacing w:before="40" w:after="40"/>
        <w:ind w:left="924" w:hanging="357"/>
        <w:contextualSpacing w:val="0"/>
        <w:rPr>
          <w:rFonts w:ascii="Arial" w:hAnsi="Arial" w:cs="Arial"/>
          <w:sz w:val="22"/>
          <w:szCs w:val="22"/>
        </w:rPr>
      </w:pPr>
      <w:r w:rsidRPr="00C328D7">
        <w:rPr>
          <w:rFonts w:ascii="Arial" w:hAnsi="Arial" w:cs="Arial"/>
          <w:sz w:val="22"/>
          <w:szCs w:val="22"/>
        </w:rPr>
        <w:t>Licences</w:t>
      </w:r>
      <w:r w:rsidRPr="00C328D7">
        <w:rPr>
          <w:rFonts w:ascii="Arial" w:hAnsi="Arial" w:cs="Arial"/>
          <w:sz w:val="22"/>
          <w:szCs w:val="22"/>
        </w:rPr>
        <w:tab/>
      </w:r>
    </w:p>
    <w:p w:rsidR="00C328D7" w:rsidRPr="00C328D7" w:rsidRDefault="00C328D7" w:rsidP="00C328D7">
      <w:pPr>
        <w:pStyle w:val="ListParagraph"/>
        <w:numPr>
          <w:ilvl w:val="0"/>
          <w:numId w:val="2"/>
        </w:numPr>
        <w:tabs>
          <w:tab w:val="left" w:pos="567"/>
        </w:tabs>
        <w:spacing w:before="40" w:after="40"/>
        <w:ind w:left="924" w:hanging="357"/>
        <w:contextualSpacing w:val="0"/>
        <w:rPr>
          <w:rFonts w:ascii="Arial" w:hAnsi="Arial" w:cs="Arial"/>
          <w:sz w:val="22"/>
          <w:szCs w:val="22"/>
        </w:rPr>
      </w:pPr>
      <w:r w:rsidRPr="00C328D7">
        <w:rPr>
          <w:rFonts w:ascii="Arial" w:hAnsi="Arial" w:cs="Arial"/>
          <w:sz w:val="22"/>
          <w:szCs w:val="22"/>
        </w:rPr>
        <w:t>Funding agreements and grants</w:t>
      </w:r>
    </w:p>
    <w:p w:rsidR="00C328D7" w:rsidRPr="00C328D7" w:rsidRDefault="00C328D7" w:rsidP="00C328D7">
      <w:pPr>
        <w:pStyle w:val="ListParagraph"/>
        <w:numPr>
          <w:ilvl w:val="0"/>
          <w:numId w:val="2"/>
        </w:numPr>
        <w:tabs>
          <w:tab w:val="left" w:pos="567"/>
        </w:tabs>
        <w:spacing w:before="40" w:after="40"/>
        <w:ind w:left="924" w:hanging="357"/>
        <w:contextualSpacing w:val="0"/>
        <w:rPr>
          <w:rFonts w:ascii="Arial" w:hAnsi="Arial" w:cs="Arial"/>
          <w:sz w:val="22"/>
          <w:szCs w:val="22"/>
        </w:rPr>
      </w:pPr>
      <w:r w:rsidRPr="00C328D7">
        <w:rPr>
          <w:rFonts w:ascii="Arial" w:hAnsi="Arial" w:cs="Arial"/>
          <w:sz w:val="22"/>
          <w:szCs w:val="22"/>
        </w:rPr>
        <w:t xml:space="preserve">Asset divestments </w:t>
      </w:r>
    </w:p>
    <w:p w:rsidR="00C328D7" w:rsidRPr="00C328D7" w:rsidRDefault="00C328D7" w:rsidP="00C328D7">
      <w:pPr>
        <w:pStyle w:val="ListParagraph"/>
        <w:numPr>
          <w:ilvl w:val="0"/>
          <w:numId w:val="2"/>
        </w:numPr>
        <w:tabs>
          <w:tab w:val="left" w:pos="567"/>
        </w:tabs>
        <w:spacing w:before="40" w:after="40"/>
        <w:ind w:left="924" w:hanging="357"/>
        <w:contextualSpacing w:val="0"/>
        <w:rPr>
          <w:rFonts w:ascii="Arial" w:hAnsi="Arial" w:cs="Arial"/>
          <w:sz w:val="22"/>
          <w:szCs w:val="22"/>
        </w:rPr>
      </w:pPr>
      <w:r w:rsidRPr="00C328D7">
        <w:rPr>
          <w:rFonts w:ascii="Arial" w:hAnsi="Arial" w:cs="Arial"/>
          <w:sz w:val="22"/>
          <w:szCs w:val="22"/>
        </w:rPr>
        <w:t>General commercial drafting</w:t>
      </w:r>
    </w:p>
    <w:p w:rsidR="00C328D7" w:rsidRPr="00C328D7" w:rsidRDefault="00C328D7" w:rsidP="00C328D7">
      <w:pPr>
        <w:pStyle w:val="ListParagraph"/>
        <w:numPr>
          <w:ilvl w:val="0"/>
          <w:numId w:val="2"/>
        </w:numPr>
        <w:tabs>
          <w:tab w:val="left" w:pos="567"/>
        </w:tabs>
        <w:spacing w:before="40" w:after="40"/>
        <w:ind w:left="924" w:hanging="357"/>
        <w:contextualSpacing w:val="0"/>
        <w:rPr>
          <w:rFonts w:ascii="Arial" w:hAnsi="Arial" w:cs="Arial"/>
          <w:sz w:val="22"/>
          <w:szCs w:val="22"/>
        </w:rPr>
      </w:pPr>
      <w:r w:rsidRPr="00C328D7">
        <w:rPr>
          <w:rFonts w:ascii="Arial" w:hAnsi="Arial" w:cs="Arial"/>
          <w:sz w:val="22"/>
          <w:szCs w:val="22"/>
        </w:rPr>
        <w:t>General commercial advice</w:t>
      </w:r>
    </w:p>
    <w:p w:rsidR="00C328D7" w:rsidRPr="00C328D7" w:rsidRDefault="00C328D7" w:rsidP="00C328D7">
      <w:pPr>
        <w:pStyle w:val="ListParagraph"/>
        <w:numPr>
          <w:ilvl w:val="0"/>
          <w:numId w:val="2"/>
        </w:numPr>
        <w:tabs>
          <w:tab w:val="left" w:pos="567"/>
        </w:tabs>
        <w:spacing w:before="40" w:after="40"/>
        <w:ind w:left="924" w:hanging="357"/>
        <w:contextualSpacing w:val="0"/>
        <w:rPr>
          <w:rFonts w:ascii="Arial" w:hAnsi="Arial" w:cs="Arial"/>
          <w:sz w:val="22"/>
          <w:szCs w:val="22"/>
        </w:rPr>
      </w:pPr>
      <w:r w:rsidRPr="00C328D7">
        <w:rPr>
          <w:rFonts w:ascii="Arial" w:hAnsi="Arial" w:cs="Arial"/>
          <w:sz w:val="22"/>
          <w:szCs w:val="22"/>
        </w:rPr>
        <w:t>Media law, defamation advice and production agreements</w:t>
      </w:r>
    </w:p>
    <w:p w:rsidR="00C328D7" w:rsidRPr="00C328D7" w:rsidRDefault="00C328D7" w:rsidP="00C328D7">
      <w:pPr>
        <w:pStyle w:val="ListParagraph"/>
        <w:numPr>
          <w:ilvl w:val="0"/>
          <w:numId w:val="2"/>
        </w:numPr>
        <w:tabs>
          <w:tab w:val="left" w:pos="567"/>
        </w:tabs>
        <w:spacing w:before="40" w:after="40"/>
        <w:ind w:left="924" w:hanging="357"/>
        <w:contextualSpacing w:val="0"/>
        <w:rPr>
          <w:rFonts w:ascii="Arial" w:hAnsi="Arial" w:cs="Arial"/>
          <w:sz w:val="22"/>
          <w:szCs w:val="22"/>
        </w:rPr>
      </w:pPr>
      <w:r w:rsidRPr="00C328D7">
        <w:rPr>
          <w:rFonts w:ascii="Arial" w:hAnsi="Arial" w:cs="Arial"/>
          <w:sz w:val="22"/>
          <w:szCs w:val="22"/>
        </w:rPr>
        <w:t>Major commercial and strategic projects and transactions</w:t>
      </w:r>
    </w:p>
    <w:p w:rsidR="00C328D7" w:rsidRPr="00C328D7" w:rsidRDefault="00C328D7" w:rsidP="00C328D7">
      <w:pPr>
        <w:pStyle w:val="ListParagraph"/>
        <w:numPr>
          <w:ilvl w:val="0"/>
          <w:numId w:val="3"/>
        </w:numPr>
        <w:tabs>
          <w:tab w:val="left" w:pos="567"/>
        </w:tabs>
        <w:spacing w:before="120" w:after="120"/>
        <w:ind w:left="567" w:hanging="567"/>
        <w:contextualSpacing w:val="0"/>
        <w:rPr>
          <w:rFonts w:ascii="Arial" w:hAnsi="Arial" w:cs="Arial"/>
          <w:b/>
          <w:sz w:val="22"/>
          <w:szCs w:val="22"/>
        </w:rPr>
      </w:pPr>
      <w:r w:rsidRPr="00C328D7">
        <w:rPr>
          <w:rFonts w:ascii="Arial" w:hAnsi="Arial" w:cs="Arial"/>
          <w:b/>
          <w:sz w:val="22"/>
          <w:szCs w:val="22"/>
        </w:rPr>
        <w:t xml:space="preserve">Financial Services law </w:t>
      </w:r>
      <w:r w:rsidRPr="00C328D7">
        <w:rPr>
          <w:rFonts w:ascii="Arial" w:hAnsi="Arial" w:cs="Arial"/>
          <w:sz w:val="22"/>
          <w:szCs w:val="22"/>
        </w:rPr>
        <w:t>including</w:t>
      </w:r>
      <w:r w:rsidRPr="00C328D7">
        <w:rPr>
          <w:rFonts w:ascii="Arial" w:hAnsi="Arial" w:cs="Arial"/>
          <w:b/>
          <w:sz w:val="22"/>
          <w:szCs w:val="22"/>
        </w:rPr>
        <w:t>:</w:t>
      </w:r>
    </w:p>
    <w:p w:rsidR="00C328D7" w:rsidRPr="00C328D7" w:rsidRDefault="00C328D7" w:rsidP="00C328D7">
      <w:pPr>
        <w:pStyle w:val="ListParagraph"/>
        <w:numPr>
          <w:ilvl w:val="0"/>
          <w:numId w:val="2"/>
        </w:numPr>
        <w:tabs>
          <w:tab w:val="left" w:pos="567"/>
        </w:tabs>
        <w:spacing w:before="40" w:after="40"/>
        <w:ind w:left="924" w:hanging="357"/>
        <w:contextualSpacing w:val="0"/>
        <w:rPr>
          <w:rFonts w:ascii="Arial" w:hAnsi="Arial" w:cs="Arial"/>
          <w:sz w:val="22"/>
          <w:szCs w:val="22"/>
        </w:rPr>
      </w:pPr>
      <w:r w:rsidRPr="00C328D7">
        <w:rPr>
          <w:rFonts w:ascii="Arial" w:hAnsi="Arial" w:cs="Arial"/>
          <w:sz w:val="22"/>
          <w:szCs w:val="22"/>
        </w:rPr>
        <w:t>General financial services (including insurance, superannuation, investment and banking) and regulatory legal advice</w:t>
      </w:r>
    </w:p>
    <w:p w:rsidR="00C328D7" w:rsidRPr="00C328D7" w:rsidRDefault="00C328D7" w:rsidP="00C328D7">
      <w:pPr>
        <w:pStyle w:val="ListParagraph"/>
        <w:numPr>
          <w:ilvl w:val="0"/>
          <w:numId w:val="2"/>
        </w:numPr>
        <w:tabs>
          <w:tab w:val="left" w:pos="567"/>
        </w:tabs>
        <w:spacing w:before="40" w:after="40"/>
        <w:ind w:left="924" w:hanging="357"/>
        <w:contextualSpacing w:val="0"/>
        <w:rPr>
          <w:rFonts w:ascii="Arial" w:hAnsi="Arial" w:cs="Arial"/>
          <w:sz w:val="22"/>
          <w:szCs w:val="22"/>
        </w:rPr>
      </w:pPr>
      <w:r w:rsidRPr="00C328D7">
        <w:rPr>
          <w:rFonts w:ascii="Arial" w:hAnsi="Arial" w:cs="Arial"/>
          <w:sz w:val="22"/>
          <w:szCs w:val="22"/>
        </w:rPr>
        <w:t>General financial services (including insurance, superannuation, investment and banking) documentation drafting</w:t>
      </w:r>
    </w:p>
    <w:p w:rsidR="00C328D7" w:rsidRPr="00C328D7" w:rsidRDefault="00C328D7" w:rsidP="00C328D7">
      <w:pPr>
        <w:pStyle w:val="ListParagraph"/>
        <w:numPr>
          <w:ilvl w:val="0"/>
          <w:numId w:val="2"/>
        </w:numPr>
        <w:tabs>
          <w:tab w:val="left" w:pos="567"/>
        </w:tabs>
        <w:spacing w:before="40" w:after="40"/>
        <w:ind w:left="924" w:hanging="357"/>
        <w:contextualSpacing w:val="0"/>
        <w:rPr>
          <w:rFonts w:ascii="Arial" w:hAnsi="Arial" w:cs="Arial"/>
          <w:sz w:val="22"/>
          <w:szCs w:val="22"/>
        </w:rPr>
      </w:pPr>
      <w:r w:rsidRPr="00C328D7">
        <w:rPr>
          <w:rFonts w:ascii="Arial" w:hAnsi="Arial" w:cs="Arial"/>
          <w:sz w:val="22"/>
          <w:szCs w:val="22"/>
        </w:rPr>
        <w:t>Financial services product development documentation and advice</w:t>
      </w:r>
    </w:p>
    <w:p w:rsidR="00C328D7" w:rsidRPr="00C328D7" w:rsidRDefault="00C328D7" w:rsidP="00C328D7">
      <w:pPr>
        <w:pStyle w:val="ListParagraph"/>
        <w:numPr>
          <w:ilvl w:val="0"/>
          <w:numId w:val="2"/>
        </w:numPr>
        <w:tabs>
          <w:tab w:val="left" w:pos="567"/>
        </w:tabs>
        <w:spacing w:before="40" w:after="40"/>
        <w:ind w:left="924" w:hanging="357"/>
        <w:contextualSpacing w:val="0"/>
        <w:rPr>
          <w:rFonts w:ascii="Arial" w:hAnsi="Arial" w:cs="Arial"/>
          <w:sz w:val="22"/>
          <w:szCs w:val="22"/>
        </w:rPr>
      </w:pPr>
      <w:r w:rsidRPr="00C328D7">
        <w:rPr>
          <w:rFonts w:ascii="Arial" w:hAnsi="Arial" w:cs="Arial"/>
          <w:sz w:val="22"/>
          <w:szCs w:val="22"/>
        </w:rPr>
        <w:t>Investment, superannuation, insurance and banking transactional advice</w:t>
      </w:r>
    </w:p>
    <w:p w:rsidR="00C328D7" w:rsidRPr="00C328D7" w:rsidRDefault="00C328D7" w:rsidP="00C328D7">
      <w:pPr>
        <w:pStyle w:val="ListParagraph"/>
        <w:numPr>
          <w:ilvl w:val="0"/>
          <w:numId w:val="3"/>
        </w:numPr>
        <w:tabs>
          <w:tab w:val="left" w:pos="567"/>
        </w:tabs>
        <w:spacing w:before="120" w:after="120"/>
        <w:ind w:left="567" w:hanging="567"/>
        <w:contextualSpacing w:val="0"/>
        <w:rPr>
          <w:rFonts w:ascii="Arial" w:hAnsi="Arial" w:cs="Arial"/>
          <w:b/>
          <w:sz w:val="22"/>
          <w:szCs w:val="22"/>
        </w:rPr>
      </w:pPr>
      <w:r w:rsidRPr="00C328D7">
        <w:rPr>
          <w:rFonts w:ascii="Arial" w:hAnsi="Arial" w:cs="Arial"/>
          <w:b/>
          <w:sz w:val="22"/>
          <w:szCs w:val="22"/>
        </w:rPr>
        <w:t>Intellectual Property</w:t>
      </w:r>
    </w:p>
    <w:p w:rsidR="00C328D7" w:rsidRPr="00C328D7" w:rsidRDefault="00C328D7" w:rsidP="00C328D7">
      <w:pPr>
        <w:pStyle w:val="ListParagraph"/>
        <w:numPr>
          <w:ilvl w:val="0"/>
          <w:numId w:val="3"/>
        </w:numPr>
        <w:tabs>
          <w:tab w:val="left" w:pos="567"/>
        </w:tabs>
        <w:spacing w:before="120" w:after="120"/>
        <w:ind w:left="567" w:hanging="567"/>
        <w:contextualSpacing w:val="0"/>
        <w:rPr>
          <w:rFonts w:ascii="Arial" w:hAnsi="Arial" w:cs="Arial"/>
          <w:b/>
          <w:sz w:val="22"/>
          <w:szCs w:val="22"/>
        </w:rPr>
      </w:pPr>
      <w:r w:rsidRPr="00C328D7">
        <w:rPr>
          <w:rFonts w:ascii="Arial" w:hAnsi="Arial" w:cs="Arial"/>
          <w:b/>
          <w:sz w:val="22"/>
          <w:szCs w:val="22"/>
        </w:rPr>
        <w:t xml:space="preserve">Information Technology </w:t>
      </w:r>
    </w:p>
    <w:p w:rsidR="00C328D7" w:rsidRPr="00C328D7" w:rsidRDefault="00C328D7" w:rsidP="00C328D7">
      <w:pPr>
        <w:pStyle w:val="ListParagraph"/>
        <w:numPr>
          <w:ilvl w:val="0"/>
          <w:numId w:val="3"/>
        </w:numPr>
        <w:tabs>
          <w:tab w:val="left" w:pos="567"/>
        </w:tabs>
        <w:spacing w:before="120" w:after="120"/>
        <w:ind w:left="567" w:hanging="567"/>
        <w:contextualSpacing w:val="0"/>
        <w:rPr>
          <w:rFonts w:ascii="Arial" w:hAnsi="Arial" w:cs="Arial"/>
          <w:sz w:val="22"/>
          <w:szCs w:val="22"/>
        </w:rPr>
      </w:pPr>
      <w:r w:rsidRPr="00C328D7">
        <w:rPr>
          <w:rFonts w:ascii="Arial" w:hAnsi="Arial" w:cs="Arial"/>
          <w:b/>
          <w:sz w:val="22"/>
          <w:szCs w:val="22"/>
        </w:rPr>
        <w:t xml:space="preserve">Competition law </w:t>
      </w:r>
      <w:r w:rsidRPr="00C328D7">
        <w:rPr>
          <w:rFonts w:ascii="Arial" w:hAnsi="Arial" w:cs="Arial"/>
          <w:sz w:val="22"/>
          <w:szCs w:val="22"/>
        </w:rPr>
        <w:t>in the context of state legislation, including IPART and SOC legislation and advice in relation to government monopoly services and directions to SOCs</w:t>
      </w:r>
    </w:p>
    <w:p w:rsidR="00C328D7" w:rsidRPr="00C328D7" w:rsidRDefault="00C328D7" w:rsidP="00C328D7">
      <w:pPr>
        <w:pStyle w:val="ListParagraph"/>
        <w:numPr>
          <w:ilvl w:val="0"/>
          <w:numId w:val="3"/>
        </w:numPr>
        <w:tabs>
          <w:tab w:val="left" w:pos="567"/>
        </w:tabs>
        <w:spacing w:before="120" w:after="120"/>
        <w:ind w:left="567" w:hanging="567"/>
        <w:contextualSpacing w:val="0"/>
        <w:rPr>
          <w:rFonts w:ascii="Arial" w:hAnsi="Arial" w:cs="Arial"/>
          <w:b/>
          <w:sz w:val="22"/>
          <w:szCs w:val="22"/>
        </w:rPr>
      </w:pPr>
      <w:r w:rsidRPr="00C328D7">
        <w:rPr>
          <w:rFonts w:ascii="Arial" w:hAnsi="Arial" w:cs="Arial"/>
          <w:b/>
          <w:sz w:val="22"/>
          <w:szCs w:val="22"/>
        </w:rPr>
        <w:t xml:space="preserve">Taxation law </w:t>
      </w:r>
      <w:r w:rsidRPr="00C328D7">
        <w:rPr>
          <w:rFonts w:ascii="Arial" w:hAnsi="Arial" w:cs="Arial"/>
          <w:sz w:val="22"/>
          <w:szCs w:val="22"/>
        </w:rPr>
        <w:t>– direct and indirect taxes</w:t>
      </w:r>
    </w:p>
    <w:p w:rsidR="00C328D7" w:rsidRPr="00C328D7" w:rsidRDefault="00C328D7" w:rsidP="00C328D7">
      <w:pPr>
        <w:pStyle w:val="Heading2"/>
        <w:shd w:val="clear" w:color="auto" w:fill="002060"/>
        <w:spacing w:before="240" w:after="120"/>
        <w:rPr>
          <w:rFonts w:cs="Arial"/>
          <w:szCs w:val="24"/>
        </w:rPr>
      </w:pPr>
      <w:bookmarkStart w:id="2" w:name="_Toc437355256"/>
      <w:r w:rsidRPr="00C328D7">
        <w:rPr>
          <w:rFonts w:cs="Arial"/>
          <w:szCs w:val="24"/>
        </w:rPr>
        <w:lastRenderedPageBreak/>
        <w:t xml:space="preserve">Sub Panel 3 – </w:t>
      </w:r>
      <w:bookmarkEnd w:id="2"/>
      <w:r w:rsidRPr="00C328D7">
        <w:rPr>
          <w:rFonts w:cs="Arial"/>
          <w:szCs w:val="24"/>
        </w:rPr>
        <w:t>Property, planning, environmental</w:t>
      </w:r>
    </w:p>
    <w:p w:rsidR="00C328D7" w:rsidRPr="00C328D7" w:rsidRDefault="00C328D7" w:rsidP="00C328D7">
      <w:pPr>
        <w:pStyle w:val="ListParagraph"/>
        <w:keepNext/>
        <w:keepLines/>
        <w:numPr>
          <w:ilvl w:val="0"/>
          <w:numId w:val="4"/>
        </w:numPr>
        <w:tabs>
          <w:tab w:val="left" w:pos="567"/>
        </w:tabs>
        <w:spacing w:before="120" w:after="120"/>
        <w:ind w:left="567" w:hanging="567"/>
        <w:contextualSpacing w:val="0"/>
        <w:rPr>
          <w:rFonts w:ascii="Arial" w:hAnsi="Arial" w:cs="Arial"/>
          <w:b/>
          <w:sz w:val="22"/>
          <w:szCs w:val="22"/>
        </w:rPr>
      </w:pPr>
      <w:r w:rsidRPr="00C328D7">
        <w:rPr>
          <w:rFonts w:ascii="Arial" w:hAnsi="Arial" w:cs="Arial"/>
          <w:b/>
          <w:sz w:val="22"/>
          <w:szCs w:val="22"/>
        </w:rPr>
        <w:t xml:space="preserve">Complex property advice, transactions and accreditation </w:t>
      </w:r>
      <w:r w:rsidRPr="00C328D7">
        <w:rPr>
          <w:rFonts w:ascii="Arial" w:hAnsi="Arial" w:cs="Arial"/>
          <w:sz w:val="22"/>
          <w:szCs w:val="22"/>
        </w:rPr>
        <w:t>including:</w:t>
      </w:r>
    </w:p>
    <w:p w:rsidR="00C328D7" w:rsidRPr="00C328D7" w:rsidRDefault="00C328D7" w:rsidP="00C328D7">
      <w:pPr>
        <w:pStyle w:val="ListParagraph"/>
        <w:keepNext/>
        <w:keepLines/>
        <w:numPr>
          <w:ilvl w:val="0"/>
          <w:numId w:val="2"/>
        </w:numPr>
        <w:tabs>
          <w:tab w:val="left" w:pos="567"/>
        </w:tabs>
        <w:spacing w:before="40" w:after="40"/>
        <w:ind w:left="924" w:hanging="357"/>
        <w:contextualSpacing w:val="0"/>
        <w:rPr>
          <w:rFonts w:ascii="Arial" w:hAnsi="Arial" w:cs="Arial"/>
          <w:sz w:val="22"/>
          <w:szCs w:val="22"/>
        </w:rPr>
      </w:pPr>
      <w:r w:rsidRPr="00C328D7">
        <w:rPr>
          <w:rFonts w:ascii="Arial" w:hAnsi="Arial" w:cs="Arial"/>
          <w:sz w:val="22"/>
          <w:szCs w:val="22"/>
        </w:rPr>
        <w:t xml:space="preserve">General property law advice and transactional work on complex property issues or major transactions, and strata and community title. </w:t>
      </w:r>
    </w:p>
    <w:p w:rsidR="00C328D7" w:rsidRPr="00C328D7" w:rsidRDefault="00C328D7" w:rsidP="00C328D7">
      <w:pPr>
        <w:pStyle w:val="ListParagraph"/>
        <w:keepNext/>
        <w:keepLines/>
        <w:numPr>
          <w:ilvl w:val="0"/>
          <w:numId w:val="2"/>
        </w:numPr>
        <w:tabs>
          <w:tab w:val="left" w:pos="567"/>
        </w:tabs>
        <w:spacing w:before="40" w:after="40"/>
        <w:ind w:left="924" w:hanging="357"/>
        <w:contextualSpacing w:val="0"/>
        <w:rPr>
          <w:rFonts w:ascii="Arial" w:hAnsi="Arial" w:cs="Arial"/>
          <w:sz w:val="22"/>
          <w:szCs w:val="22"/>
        </w:rPr>
      </w:pPr>
      <w:r w:rsidRPr="00C328D7">
        <w:rPr>
          <w:rFonts w:ascii="Arial" w:hAnsi="Arial" w:cs="Arial"/>
          <w:sz w:val="22"/>
          <w:szCs w:val="22"/>
        </w:rPr>
        <w:t>Complex commercial and residential leasing and licensing, including in relation to dry and wet lands</w:t>
      </w:r>
    </w:p>
    <w:p w:rsidR="00C328D7" w:rsidRPr="00C328D7" w:rsidRDefault="00C328D7" w:rsidP="00C328D7">
      <w:pPr>
        <w:pStyle w:val="ListParagraph"/>
        <w:keepNext/>
        <w:keepLines/>
        <w:numPr>
          <w:ilvl w:val="0"/>
          <w:numId w:val="2"/>
        </w:numPr>
        <w:tabs>
          <w:tab w:val="left" w:pos="567"/>
        </w:tabs>
        <w:spacing w:before="40" w:after="40"/>
        <w:ind w:left="924" w:hanging="357"/>
        <w:contextualSpacing w:val="0"/>
        <w:rPr>
          <w:rFonts w:ascii="Arial" w:hAnsi="Arial" w:cs="Arial"/>
          <w:sz w:val="22"/>
          <w:szCs w:val="22"/>
        </w:rPr>
      </w:pPr>
      <w:r w:rsidRPr="00C328D7">
        <w:rPr>
          <w:rFonts w:ascii="Arial" w:hAnsi="Arial" w:cs="Arial"/>
          <w:sz w:val="22"/>
          <w:szCs w:val="22"/>
        </w:rPr>
        <w:t xml:space="preserve">Property development and disposal strategies </w:t>
      </w:r>
    </w:p>
    <w:p w:rsidR="00C328D7" w:rsidRPr="00C328D7" w:rsidRDefault="00C328D7" w:rsidP="00C328D7">
      <w:pPr>
        <w:pStyle w:val="ListParagraph"/>
        <w:keepNext/>
        <w:keepLines/>
        <w:numPr>
          <w:ilvl w:val="0"/>
          <w:numId w:val="2"/>
        </w:numPr>
        <w:tabs>
          <w:tab w:val="left" w:pos="567"/>
        </w:tabs>
        <w:spacing w:before="40" w:after="40"/>
        <w:ind w:left="924" w:hanging="357"/>
        <w:contextualSpacing w:val="0"/>
        <w:rPr>
          <w:rFonts w:ascii="Arial" w:hAnsi="Arial" w:cs="Arial"/>
          <w:sz w:val="22"/>
          <w:szCs w:val="22"/>
        </w:rPr>
      </w:pPr>
      <w:r w:rsidRPr="00C328D7">
        <w:rPr>
          <w:rFonts w:ascii="Arial" w:hAnsi="Arial" w:cs="Arial"/>
          <w:sz w:val="22"/>
          <w:szCs w:val="22"/>
        </w:rPr>
        <w:t>Conveyancing of multiple or major parcels of land/ parcels with complex issues</w:t>
      </w:r>
    </w:p>
    <w:p w:rsidR="00C328D7" w:rsidRPr="00C328D7" w:rsidRDefault="00C328D7" w:rsidP="00C328D7">
      <w:pPr>
        <w:pStyle w:val="ListParagraph"/>
        <w:keepNext/>
        <w:keepLines/>
        <w:numPr>
          <w:ilvl w:val="0"/>
          <w:numId w:val="2"/>
        </w:numPr>
        <w:tabs>
          <w:tab w:val="left" w:pos="567"/>
        </w:tabs>
        <w:spacing w:before="40" w:after="40"/>
        <w:ind w:left="924" w:hanging="357"/>
        <w:contextualSpacing w:val="0"/>
        <w:rPr>
          <w:rFonts w:ascii="Arial" w:hAnsi="Arial" w:cs="Arial"/>
          <w:sz w:val="22"/>
          <w:szCs w:val="22"/>
        </w:rPr>
      </w:pPr>
      <w:r w:rsidRPr="00C328D7">
        <w:rPr>
          <w:rFonts w:ascii="Arial" w:hAnsi="Arial" w:cs="Arial"/>
          <w:sz w:val="22"/>
          <w:szCs w:val="22"/>
        </w:rPr>
        <w:t>Property dealings, including easements, land access agreements, and covenants</w:t>
      </w:r>
    </w:p>
    <w:p w:rsidR="00C328D7" w:rsidRPr="00C328D7" w:rsidRDefault="00C328D7" w:rsidP="00C328D7">
      <w:pPr>
        <w:pStyle w:val="ListParagraph"/>
        <w:keepNext/>
        <w:keepLines/>
        <w:numPr>
          <w:ilvl w:val="0"/>
          <w:numId w:val="2"/>
        </w:numPr>
        <w:tabs>
          <w:tab w:val="left" w:pos="567"/>
        </w:tabs>
        <w:spacing w:before="40" w:after="40"/>
        <w:ind w:left="924" w:hanging="357"/>
        <w:contextualSpacing w:val="0"/>
        <w:rPr>
          <w:rFonts w:ascii="Arial" w:hAnsi="Arial" w:cs="Arial"/>
          <w:sz w:val="22"/>
          <w:szCs w:val="22"/>
        </w:rPr>
      </w:pPr>
      <w:r w:rsidRPr="00C328D7">
        <w:rPr>
          <w:rFonts w:ascii="Arial" w:hAnsi="Arial" w:cs="Arial"/>
          <w:sz w:val="22"/>
          <w:szCs w:val="22"/>
        </w:rPr>
        <w:t>Corridor/infrastructure access and accreditation requirements.</w:t>
      </w:r>
    </w:p>
    <w:p w:rsidR="00C328D7" w:rsidRPr="00C328D7" w:rsidRDefault="00C328D7" w:rsidP="00C328D7">
      <w:pPr>
        <w:pStyle w:val="ListParagraph"/>
        <w:keepNext/>
        <w:keepLines/>
        <w:numPr>
          <w:ilvl w:val="0"/>
          <w:numId w:val="4"/>
        </w:numPr>
        <w:tabs>
          <w:tab w:val="left" w:pos="567"/>
        </w:tabs>
        <w:spacing w:before="120" w:after="120"/>
        <w:ind w:left="567" w:hanging="567"/>
        <w:contextualSpacing w:val="0"/>
        <w:rPr>
          <w:rFonts w:ascii="Arial" w:hAnsi="Arial" w:cs="Arial"/>
          <w:sz w:val="22"/>
          <w:szCs w:val="22"/>
        </w:rPr>
      </w:pPr>
      <w:r w:rsidRPr="00C328D7">
        <w:rPr>
          <w:rFonts w:ascii="Arial" w:hAnsi="Arial" w:cs="Arial"/>
          <w:b/>
          <w:sz w:val="22"/>
          <w:szCs w:val="22"/>
        </w:rPr>
        <w:t>Routine/standard property advice and transactions</w:t>
      </w:r>
    </w:p>
    <w:p w:rsidR="00C328D7" w:rsidRPr="00C328D7" w:rsidRDefault="00C328D7" w:rsidP="00C328D7">
      <w:pPr>
        <w:pStyle w:val="ListParagraph"/>
        <w:numPr>
          <w:ilvl w:val="0"/>
          <w:numId w:val="2"/>
        </w:numPr>
        <w:tabs>
          <w:tab w:val="left" w:pos="567"/>
        </w:tabs>
        <w:spacing w:before="40" w:after="40"/>
        <w:ind w:left="924" w:hanging="357"/>
        <w:contextualSpacing w:val="0"/>
        <w:rPr>
          <w:rFonts w:ascii="Arial" w:hAnsi="Arial" w:cs="Arial"/>
          <w:sz w:val="22"/>
          <w:szCs w:val="22"/>
        </w:rPr>
      </w:pPr>
      <w:r w:rsidRPr="00C328D7">
        <w:rPr>
          <w:rFonts w:ascii="Arial" w:hAnsi="Arial" w:cs="Arial"/>
          <w:sz w:val="22"/>
          <w:szCs w:val="22"/>
        </w:rPr>
        <w:t>Commercial and residential leasing and licensing</w:t>
      </w:r>
    </w:p>
    <w:p w:rsidR="00C328D7" w:rsidRPr="00C328D7" w:rsidRDefault="00C328D7" w:rsidP="00C328D7">
      <w:pPr>
        <w:pStyle w:val="ListParagraph"/>
        <w:numPr>
          <w:ilvl w:val="0"/>
          <w:numId w:val="2"/>
        </w:numPr>
        <w:tabs>
          <w:tab w:val="left" w:pos="567"/>
        </w:tabs>
        <w:spacing w:before="40" w:after="40"/>
        <w:ind w:left="924" w:hanging="357"/>
        <w:contextualSpacing w:val="0"/>
        <w:rPr>
          <w:rFonts w:ascii="Arial" w:hAnsi="Arial" w:cs="Arial"/>
          <w:sz w:val="22"/>
          <w:szCs w:val="22"/>
        </w:rPr>
      </w:pPr>
      <w:r w:rsidRPr="00C328D7">
        <w:rPr>
          <w:rFonts w:ascii="Arial" w:hAnsi="Arial" w:cs="Arial"/>
          <w:sz w:val="22"/>
          <w:szCs w:val="22"/>
        </w:rPr>
        <w:t>Routine acquisitions and disposals</w:t>
      </w:r>
    </w:p>
    <w:p w:rsidR="00C328D7" w:rsidRPr="00C328D7" w:rsidRDefault="00C328D7" w:rsidP="00C328D7">
      <w:pPr>
        <w:pStyle w:val="ListParagraph"/>
        <w:numPr>
          <w:ilvl w:val="0"/>
          <w:numId w:val="2"/>
        </w:numPr>
        <w:tabs>
          <w:tab w:val="left" w:pos="567"/>
        </w:tabs>
        <w:spacing w:before="40" w:after="40"/>
        <w:ind w:left="924" w:hanging="357"/>
        <w:contextualSpacing w:val="0"/>
        <w:rPr>
          <w:rFonts w:ascii="Arial" w:hAnsi="Arial" w:cs="Arial"/>
          <w:sz w:val="22"/>
          <w:szCs w:val="22"/>
        </w:rPr>
      </w:pPr>
      <w:r w:rsidRPr="00C328D7">
        <w:rPr>
          <w:rFonts w:ascii="Arial" w:hAnsi="Arial" w:cs="Arial"/>
          <w:sz w:val="22"/>
          <w:szCs w:val="22"/>
        </w:rPr>
        <w:t xml:space="preserve">Conveyancing </w:t>
      </w:r>
    </w:p>
    <w:p w:rsidR="00C328D7" w:rsidRPr="00C328D7" w:rsidRDefault="00C328D7" w:rsidP="00C328D7">
      <w:pPr>
        <w:pStyle w:val="ListParagraph"/>
        <w:numPr>
          <w:ilvl w:val="0"/>
          <w:numId w:val="2"/>
        </w:numPr>
        <w:tabs>
          <w:tab w:val="left" w:pos="567"/>
        </w:tabs>
        <w:spacing w:before="40" w:after="40"/>
        <w:ind w:left="924" w:hanging="357"/>
        <w:contextualSpacing w:val="0"/>
        <w:rPr>
          <w:rFonts w:ascii="Arial" w:hAnsi="Arial" w:cs="Arial"/>
          <w:sz w:val="22"/>
          <w:szCs w:val="22"/>
        </w:rPr>
      </w:pPr>
      <w:r w:rsidRPr="00C328D7">
        <w:rPr>
          <w:rFonts w:ascii="Arial" w:hAnsi="Arial" w:cs="Arial"/>
          <w:sz w:val="22"/>
          <w:szCs w:val="22"/>
        </w:rPr>
        <w:t>Land access agreements</w:t>
      </w:r>
    </w:p>
    <w:p w:rsidR="00C328D7" w:rsidRPr="00C328D7" w:rsidRDefault="00C328D7" w:rsidP="00C328D7">
      <w:pPr>
        <w:pStyle w:val="ListParagraph"/>
        <w:numPr>
          <w:ilvl w:val="0"/>
          <w:numId w:val="2"/>
        </w:numPr>
        <w:tabs>
          <w:tab w:val="left" w:pos="567"/>
        </w:tabs>
        <w:spacing w:before="40" w:after="40"/>
        <w:ind w:left="924" w:hanging="357"/>
        <w:contextualSpacing w:val="0"/>
        <w:rPr>
          <w:rFonts w:ascii="Arial" w:hAnsi="Arial" w:cs="Arial"/>
          <w:sz w:val="22"/>
          <w:szCs w:val="22"/>
        </w:rPr>
      </w:pPr>
      <w:r w:rsidRPr="00C328D7">
        <w:rPr>
          <w:rFonts w:ascii="Arial" w:hAnsi="Arial" w:cs="Arial"/>
          <w:sz w:val="22"/>
          <w:szCs w:val="22"/>
        </w:rPr>
        <w:t>General property dealings, including easements and covenants</w:t>
      </w:r>
    </w:p>
    <w:p w:rsidR="00C328D7" w:rsidRPr="00C328D7" w:rsidRDefault="00C328D7" w:rsidP="00C328D7">
      <w:pPr>
        <w:pStyle w:val="ListParagraph"/>
        <w:keepNext/>
        <w:keepLines/>
        <w:numPr>
          <w:ilvl w:val="0"/>
          <w:numId w:val="4"/>
        </w:numPr>
        <w:tabs>
          <w:tab w:val="left" w:pos="567"/>
        </w:tabs>
        <w:spacing w:before="120" w:after="120"/>
        <w:ind w:left="567" w:hanging="567"/>
        <w:contextualSpacing w:val="0"/>
        <w:rPr>
          <w:rFonts w:ascii="Arial" w:hAnsi="Arial" w:cs="Arial"/>
          <w:b/>
          <w:sz w:val="22"/>
          <w:szCs w:val="22"/>
        </w:rPr>
      </w:pPr>
      <w:r w:rsidRPr="00C328D7">
        <w:rPr>
          <w:rFonts w:ascii="Arial" w:hAnsi="Arial" w:cs="Arial"/>
          <w:b/>
          <w:sz w:val="22"/>
          <w:szCs w:val="22"/>
        </w:rPr>
        <w:t xml:space="preserve">Planning, environmental, heritage, and natural resources law </w:t>
      </w:r>
      <w:r w:rsidRPr="00C328D7">
        <w:rPr>
          <w:rFonts w:ascii="Arial" w:hAnsi="Arial" w:cs="Arial"/>
          <w:sz w:val="22"/>
          <w:szCs w:val="22"/>
        </w:rPr>
        <w:t>including:</w:t>
      </w:r>
    </w:p>
    <w:p w:rsidR="00C328D7" w:rsidRPr="00C328D7" w:rsidRDefault="00C328D7" w:rsidP="00C328D7">
      <w:pPr>
        <w:pStyle w:val="ListParagraph"/>
        <w:numPr>
          <w:ilvl w:val="0"/>
          <w:numId w:val="2"/>
        </w:numPr>
        <w:tabs>
          <w:tab w:val="left" w:pos="567"/>
        </w:tabs>
        <w:spacing w:before="40" w:after="40"/>
        <w:rPr>
          <w:rFonts w:ascii="Arial" w:hAnsi="Arial" w:cs="Arial"/>
          <w:sz w:val="22"/>
          <w:szCs w:val="22"/>
        </w:rPr>
      </w:pPr>
      <w:r w:rsidRPr="00C328D7">
        <w:rPr>
          <w:rFonts w:ascii="Arial" w:hAnsi="Arial" w:cs="Arial"/>
          <w:sz w:val="22"/>
          <w:szCs w:val="22"/>
        </w:rPr>
        <w:t xml:space="preserve">Advice on planning law generally, including plan-making processes, developer contributions, planning agreements, consents and concurrences under the </w:t>
      </w:r>
      <w:r w:rsidRPr="00C328D7">
        <w:rPr>
          <w:rFonts w:ascii="Arial" w:hAnsi="Arial" w:cs="Arial"/>
          <w:i/>
          <w:sz w:val="22"/>
          <w:szCs w:val="22"/>
        </w:rPr>
        <w:t>Environmental Planning and Assessment Act 1979</w:t>
      </w:r>
    </w:p>
    <w:p w:rsidR="00C328D7" w:rsidRPr="00C328D7" w:rsidRDefault="00C328D7" w:rsidP="00C328D7">
      <w:pPr>
        <w:pStyle w:val="ListParagraph"/>
        <w:numPr>
          <w:ilvl w:val="0"/>
          <w:numId w:val="2"/>
        </w:numPr>
        <w:tabs>
          <w:tab w:val="left" w:pos="567"/>
        </w:tabs>
        <w:spacing w:before="40" w:after="40"/>
        <w:rPr>
          <w:rFonts w:ascii="Arial" w:hAnsi="Arial" w:cs="Arial"/>
          <w:sz w:val="22"/>
          <w:szCs w:val="22"/>
        </w:rPr>
      </w:pPr>
      <w:r w:rsidRPr="00C328D7">
        <w:rPr>
          <w:rFonts w:ascii="Arial" w:hAnsi="Arial" w:cs="Arial"/>
          <w:sz w:val="22"/>
          <w:szCs w:val="22"/>
        </w:rPr>
        <w:t xml:space="preserve">Environmental planning assessments and approvals/certifications under Parts 4, Part 5 (including Divisions 5.1 and 5.2)(and the former Part 3A) and crown development of the </w:t>
      </w:r>
      <w:r w:rsidRPr="00C328D7">
        <w:rPr>
          <w:rFonts w:ascii="Arial" w:hAnsi="Arial" w:cs="Arial"/>
          <w:i/>
          <w:sz w:val="22"/>
          <w:szCs w:val="22"/>
        </w:rPr>
        <w:t>Environmental Planning and Assessment Act 1979</w:t>
      </w:r>
      <w:r w:rsidRPr="00C328D7">
        <w:rPr>
          <w:rFonts w:ascii="Arial" w:hAnsi="Arial" w:cs="Arial"/>
          <w:sz w:val="22"/>
          <w:szCs w:val="22"/>
        </w:rPr>
        <w:t xml:space="preserve"> </w:t>
      </w:r>
    </w:p>
    <w:p w:rsidR="00C328D7" w:rsidRPr="00C328D7" w:rsidRDefault="00C328D7" w:rsidP="00C328D7">
      <w:pPr>
        <w:pStyle w:val="ListParagraph"/>
        <w:numPr>
          <w:ilvl w:val="0"/>
          <w:numId w:val="2"/>
        </w:numPr>
        <w:tabs>
          <w:tab w:val="left" w:pos="567"/>
        </w:tabs>
        <w:spacing w:before="40" w:after="40"/>
        <w:rPr>
          <w:rFonts w:ascii="Arial" w:hAnsi="Arial" w:cs="Arial"/>
          <w:sz w:val="22"/>
          <w:szCs w:val="22"/>
        </w:rPr>
      </w:pPr>
      <w:r w:rsidRPr="00C328D7">
        <w:rPr>
          <w:rFonts w:ascii="Arial" w:hAnsi="Arial" w:cs="Arial"/>
          <w:sz w:val="22"/>
          <w:szCs w:val="22"/>
        </w:rPr>
        <w:t xml:space="preserve">Advice on Commonwealth legislation relating to planning and environment, including </w:t>
      </w:r>
      <w:r w:rsidRPr="00C328D7">
        <w:rPr>
          <w:rFonts w:ascii="Arial" w:hAnsi="Arial" w:cs="Arial"/>
          <w:i/>
          <w:sz w:val="22"/>
          <w:szCs w:val="22"/>
        </w:rPr>
        <w:t>Environment Protection and Biodiversity Conservation Act 1999 (Cth)</w:t>
      </w:r>
      <w:r w:rsidRPr="00C328D7">
        <w:rPr>
          <w:rFonts w:ascii="Arial" w:hAnsi="Arial" w:cs="Arial"/>
          <w:sz w:val="22"/>
          <w:szCs w:val="22"/>
        </w:rPr>
        <w:t>, and airports Acts</w:t>
      </w:r>
    </w:p>
    <w:p w:rsidR="00C328D7" w:rsidRPr="00C328D7" w:rsidRDefault="00C328D7" w:rsidP="00C328D7">
      <w:pPr>
        <w:pStyle w:val="ListParagraph"/>
        <w:numPr>
          <w:ilvl w:val="0"/>
          <w:numId w:val="2"/>
        </w:numPr>
        <w:tabs>
          <w:tab w:val="left" w:pos="567"/>
        </w:tabs>
        <w:spacing w:before="40" w:after="40"/>
        <w:rPr>
          <w:rFonts w:ascii="Arial" w:hAnsi="Arial" w:cs="Arial"/>
          <w:sz w:val="22"/>
          <w:szCs w:val="22"/>
        </w:rPr>
      </w:pPr>
      <w:r w:rsidRPr="00C328D7">
        <w:rPr>
          <w:rFonts w:ascii="Arial" w:hAnsi="Arial" w:cs="Arial"/>
          <w:sz w:val="22"/>
          <w:szCs w:val="22"/>
        </w:rPr>
        <w:t>Advice on heritage, local government law and natural resources law, including national parks and reserves, Crown land, forestry, coastal protection, water, fisheries, biosecurity, mining and energy, biodiversity</w:t>
      </w:r>
    </w:p>
    <w:p w:rsidR="00C328D7" w:rsidRPr="00C328D7" w:rsidRDefault="00C328D7" w:rsidP="00C328D7">
      <w:pPr>
        <w:pStyle w:val="ListParagraph"/>
        <w:numPr>
          <w:ilvl w:val="0"/>
          <w:numId w:val="2"/>
        </w:numPr>
        <w:tabs>
          <w:tab w:val="left" w:pos="567"/>
        </w:tabs>
        <w:spacing w:before="40" w:after="40"/>
        <w:rPr>
          <w:rFonts w:ascii="Arial" w:hAnsi="Arial" w:cs="Arial"/>
          <w:sz w:val="22"/>
          <w:szCs w:val="22"/>
        </w:rPr>
      </w:pPr>
      <w:r w:rsidRPr="00C328D7">
        <w:rPr>
          <w:rFonts w:ascii="Arial" w:hAnsi="Arial" w:cs="Arial"/>
          <w:sz w:val="22"/>
          <w:szCs w:val="22"/>
        </w:rPr>
        <w:t>Energy, including state and national / cooperative energy (electricity and gas) legislation and regulation, National Electricity Rules, National Energy Retail Rules, National Gas Rules, wholesale and retail energy markets, energy transport (transmission and distribution) and energy projects.</w:t>
      </w:r>
    </w:p>
    <w:p w:rsidR="00C328D7" w:rsidRPr="00C328D7" w:rsidRDefault="00C328D7" w:rsidP="00C328D7">
      <w:pPr>
        <w:pStyle w:val="ListParagraph"/>
        <w:numPr>
          <w:ilvl w:val="0"/>
          <w:numId w:val="2"/>
        </w:numPr>
        <w:tabs>
          <w:tab w:val="left" w:pos="567"/>
        </w:tabs>
        <w:spacing w:before="40" w:after="40"/>
        <w:rPr>
          <w:rFonts w:ascii="Arial" w:hAnsi="Arial" w:cs="Arial"/>
          <w:sz w:val="22"/>
          <w:szCs w:val="22"/>
        </w:rPr>
      </w:pPr>
      <w:r w:rsidRPr="00C328D7">
        <w:rPr>
          <w:rFonts w:ascii="Arial" w:hAnsi="Arial" w:cs="Arial"/>
          <w:sz w:val="22"/>
          <w:szCs w:val="22"/>
        </w:rPr>
        <w:t>Environmental compliance, environmental protection licenses, contaminated land, and environmental due diligence</w:t>
      </w:r>
    </w:p>
    <w:p w:rsidR="00C328D7" w:rsidRPr="00C328D7" w:rsidRDefault="00C328D7" w:rsidP="00C328D7">
      <w:pPr>
        <w:pStyle w:val="ListParagraph"/>
        <w:numPr>
          <w:ilvl w:val="0"/>
          <w:numId w:val="2"/>
        </w:numPr>
        <w:tabs>
          <w:tab w:val="left" w:pos="567"/>
        </w:tabs>
        <w:spacing w:before="40" w:after="40"/>
        <w:ind w:left="924" w:hanging="357"/>
        <w:contextualSpacing w:val="0"/>
        <w:rPr>
          <w:rFonts w:ascii="Arial" w:hAnsi="Arial" w:cs="Arial"/>
          <w:sz w:val="22"/>
          <w:szCs w:val="22"/>
        </w:rPr>
      </w:pPr>
      <w:r w:rsidRPr="00C328D7">
        <w:rPr>
          <w:rFonts w:ascii="Arial" w:hAnsi="Arial" w:cs="Arial"/>
          <w:sz w:val="22"/>
          <w:szCs w:val="22"/>
        </w:rPr>
        <w:t>Litigation, including prosecutions, merits appeals and judicial review proceedings relating to matters covered by this Area of Law*</w:t>
      </w:r>
      <w:r w:rsidRPr="00C328D7">
        <w:rPr>
          <w:rFonts w:ascii="Arial" w:hAnsi="Arial" w:cs="Arial"/>
          <w:sz w:val="22"/>
          <w:szCs w:val="22"/>
        </w:rPr>
        <w:br/>
      </w:r>
      <w:r w:rsidRPr="00C328D7">
        <w:rPr>
          <w:rFonts w:ascii="Arial" w:hAnsi="Arial" w:cs="Arial"/>
          <w:i/>
          <w:sz w:val="22"/>
          <w:szCs w:val="22"/>
        </w:rPr>
        <w:t>* Note: Government prosecution Agencies will only use this Panel when prosecuting non-Government entities.</w:t>
      </w:r>
    </w:p>
    <w:p w:rsidR="00C328D7" w:rsidRPr="00C328D7" w:rsidRDefault="00C328D7" w:rsidP="00C328D7">
      <w:pPr>
        <w:pStyle w:val="ListParagraph"/>
        <w:keepNext/>
        <w:keepLines/>
        <w:numPr>
          <w:ilvl w:val="0"/>
          <w:numId w:val="4"/>
        </w:numPr>
        <w:tabs>
          <w:tab w:val="left" w:pos="567"/>
        </w:tabs>
        <w:spacing w:before="120" w:after="120"/>
        <w:ind w:left="567" w:hanging="567"/>
        <w:contextualSpacing w:val="0"/>
        <w:rPr>
          <w:rFonts w:ascii="Arial" w:hAnsi="Arial" w:cs="Arial"/>
          <w:b/>
          <w:sz w:val="22"/>
          <w:szCs w:val="22"/>
        </w:rPr>
      </w:pPr>
      <w:r w:rsidRPr="00C328D7">
        <w:rPr>
          <w:rFonts w:ascii="Arial" w:hAnsi="Arial" w:cs="Arial"/>
          <w:b/>
          <w:sz w:val="22"/>
          <w:szCs w:val="22"/>
        </w:rPr>
        <w:t xml:space="preserve">Statutory land acquisition </w:t>
      </w:r>
      <w:r w:rsidRPr="00C328D7">
        <w:rPr>
          <w:rFonts w:ascii="Arial" w:hAnsi="Arial" w:cs="Arial"/>
          <w:sz w:val="22"/>
          <w:szCs w:val="22"/>
        </w:rPr>
        <w:t>processes</w:t>
      </w:r>
      <w:r w:rsidRPr="00C328D7">
        <w:rPr>
          <w:rFonts w:ascii="Arial" w:hAnsi="Arial" w:cs="Arial"/>
          <w:b/>
          <w:sz w:val="22"/>
          <w:szCs w:val="22"/>
        </w:rPr>
        <w:t xml:space="preserve"> – </w:t>
      </w:r>
      <w:r w:rsidRPr="00C328D7">
        <w:rPr>
          <w:rFonts w:ascii="Arial" w:hAnsi="Arial" w:cs="Arial"/>
          <w:sz w:val="22"/>
          <w:szCs w:val="22"/>
        </w:rPr>
        <w:t>Compulsory acquisition law, processes, valuations, negotiations and associated litigation</w:t>
      </w:r>
    </w:p>
    <w:p w:rsidR="00C328D7" w:rsidRPr="00C328D7" w:rsidRDefault="00C328D7" w:rsidP="00C328D7">
      <w:pPr>
        <w:pStyle w:val="ListParagraph"/>
        <w:numPr>
          <w:ilvl w:val="0"/>
          <w:numId w:val="2"/>
        </w:numPr>
        <w:tabs>
          <w:tab w:val="left" w:pos="567"/>
        </w:tabs>
        <w:spacing w:before="40" w:after="40"/>
        <w:rPr>
          <w:rFonts w:ascii="Arial" w:hAnsi="Arial" w:cs="Arial"/>
          <w:sz w:val="22"/>
          <w:szCs w:val="22"/>
        </w:rPr>
      </w:pPr>
      <w:r w:rsidRPr="00C328D7">
        <w:rPr>
          <w:rFonts w:ascii="Arial" w:hAnsi="Arial" w:cs="Arial"/>
          <w:sz w:val="22"/>
          <w:szCs w:val="22"/>
        </w:rPr>
        <w:t>Advice and litigation concerning acquisition of special statutory categories of land including Crown Land, national parks, reserves and state forests, cemeteries (Note substantive advice on native title and Aboriginal land acquisitions is reserved for the Crown Solicitor’s Office under Premier’s Memorandum M2016-04)</w:t>
      </w:r>
    </w:p>
    <w:p w:rsidR="00C328D7" w:rsidRPr="00C328D7" w:rsidRDefault="00C328D7" w:rsidP="00C328D7">
      <w:pPr>
        <w:pStyle w:val="ListParagraph"/>
        <w:keepNext/>
        <w:keepLines/>
        <w:numPr>
          <w:ilvl w:val="0"/>
          <w:numId w:val="4"/>
        </w:numPr>
        <w:tabs>
          <w:tab w:val="left" w:pos="567"/>
        </w:tabs>
        <w:spacing w:before="120" w:after="120"/>
        <w:ind w:left="567" w:hanging="567"/>
        <w:contextualSpacing w:val="0"/>
        <w:rPr>
          <w:rFonts w:ascii="Arial" w:hAnsi="Arial" w:cs="Arial"/>
          <w:b/>
          <w:sz w:val="22"/>
          <w:szCs w:val="22"/>
        </w:rPr>
      </w:pPr>
      <w:r w:rsidRPr="00C328D7">
        <w:rPr>
          <w:rFonts w:ascii="Arial" w:hAnsi="Arial" w:cs="Arial"/>
          <w:b/>
          <w:sz w:val="22"/>
          <w:szCs w:val="22"/>
        </w:rPr>
        <w:lastRenderedPageBreak/>
        <w:t xml:space="preserve">Crown Land and local government </w:t>
      </w:r>
      <w:r w:rsidRPr="00C328D7">
        <w:rPr>
          <w:rFonts w:ascii="Arial" w:hAnsi="Arial" w:cs="Arial"/>
          <w:sz w:val="22"/>
          <w:szCs w:val="22"/>
        </w:rPr>
        <w:t>including:</w:t>
      </w:r>
    </w:p>
    <w:p w:rsidR="00C328D7" w:rsidRPr="00C328D7" w:rsidRDefault="00C328D7" w:rsidP="00C328D7">
      <w:pPr>
        <w:pStyle w:val="ListParagraph"/>
        <w:keepNext/>
        <w:keepLines/>
        <w:numPr>
          <w:ilvl w:val="0"/>
          <w:numId w:val="2"/>
        </w:numPr>
        <w:tabs>
          <w:tab w:val="left" w:pos="567"/>
        </w:tabs>
        <w:spacing w:before="40" w:after="40"/>
        <w:ind w:hanging="357"/>
        <w:rPr>
          <w:rFonts w:ascii="Arial" w:hAnsi="Arial" w:cs="Arial"/>
          <w:sz w:val="22"/>
          <w:szCs w:val="22"/>
        </w:rPr>
      </w:pPr>
      <w:r w:rsidRPr="00C328D7">
        <w:rPr>
          <w:rFonts w:ascii="Arial" w:hAnsi="Arial" w:cs="Arial"/>
          <w:sz w:val="22"/>
          <w:szCs w:val="22"/>
        </w:rPr>
        <w:t xml:space="preserve">Advice on the </w:t>
      </w:r>
      <w:r w:rsidRPr="00C328D7">
        <w:rPr>
          <w:rFonts w:ascii="Arial" w:hAnsi="Arial" w:cs="Arial"/>
          <w:i/>
          <w:sz w:val="22"/>
          <w:szCs w:val="22"/>
        </w:rPr>
        <w:t>Local Government Act 1993</w:t>
      </w:r>
      <w:r w:rsidRPr="00C328D7">
        <w:rPr>
          <w:rFonts w:ascii="Arial" w:hAnsi="Arial" w:cs="Arial"/>
          <w:sz w:val="22"/>
          <w:szCs w:val="22"/>
        </w:rPr>
        <w:t xml:space="preserve"> including the functions exercised by the Minister for Local Government and Chief Executive of the Office of Local Government, litigation investigations and issues relating to governance and conduct</w:t>
      </w:r>
    </w:p>
    <w:p w:rsidR="00C328D7" w:rsidRPr="00C328D7" w:rsidRDefault="00C328D7" w:rsidP="00C328D7">
      <w:pPr>
        <w:pStyle w:val="ListParagraph"/>
        <w:numPr>
          <w:ilvl w:val="0"/>
          <w:numId w:val="2"/>
        </w:numPr>
        <w:tabs>
          <w:tab w:val="left" w:pos="567"/>
        </w:tabs>
        <w:spacing w:before="40" w:after="40"/>
        <w:rPr>
          <w:rFonts w:ascii="Arial" w:hAnsi="Arial" w:cs="Arial"/>
          <w:sz w:val="22"/>
          <w:szCs w:val="22"/>
        </w:rPr>
      </w:pPr>
      <w:r w:rsidRPr="00C328D7">
        <w:rPr>
          <w:rFonts w:ascii="Arial" w:hAnsi="Arial" w:cs="Arial"/>
          <w:sz w:val="22"/>
          <w:szCs w:val="22"/>
        </w:rPr>
        <w:t xml:space="preserve">Advice and litigation on management of Crown land under the </w:t>
      </w:r>
      <w:r w:rsidRPr="00C328D7">
        <w:rPr>
          <w:rFonts w:ascii="Arial" w:hAnsi="Arial" w:cs="Arial"/>
          <w:i/>
          <w:sz w:val="22"/>
          <w:szCs w:val="22"/>
        </w:rPr>
        <w:t>Crown Land Management Act 2016</w:t>
      </w:r>
      <w:r w:rsidRPr="00C328D7">
        <w:rPr>
          <w:rFonts w:ascii="Arial" w:hAnsi="Arial" w:cs="Arial"/>
          <w:sz w:val="22"/>
          <w:szCs w:val="22"/>
        </w:rPr>
        <w:t>, including  dedications, vestings, dealings and regulation of Crown land, Crown land managers and reserves</w:t>
      </w:r>
    </w:p>
    <w:p w:rsidR="00C328D7" w:rsidRPr="00C328D7" w:rsidRDefault="00C328D7" w:rsidP="00C328D7">
      <w:pPr>
        <w:pStyle w:val="Heading2"/>
        <w:shd w:val="clear" w:color="auto" w:fill="002060"/>
        <w:spacing w:before="240" w:after="120"/>
        <w:rPr>
          <w:rFonts w:cs="Arial"/>
          <w:szCs w:val="24"/>
        </w:rPr>
      </w:pPr>
      <w:bookmarkStart w:id="3" w:name="_Toc437355257"/>
      <w:r w:rsidRPr="00C328D7">
        <w:rPr>
          <w:rFonts w:cs="Arial"/>
          <w:szCs w:val="24"/>
        </w:rPr>
        <w:t xml:space="preserve">Sub Panel 4 – Employment, work health and safety </w:t>
      </w:r>
      <w:bookmarkEnd w:id="3"/>
    </w:p>
    <w:p w:rsidR="00C328D7" w:rsidRPr="00C328D7" w:rsidRDefault="00C328D7" w:rsidP="00C328D7">
      <w:pPr>
        <w:pStyle w:val="ListParagraph"/>
        <w:keepNext/>
        <w:keepLines/>
        <w:numPr>
          <w:ilvl w:val="0"/>
          <w:numId w:val="5"/>
        </w:numPr>
        <w:tabs>
          <w:tab w:val="left" w:pos="567"/>
        </w:tabs>
        <w:spacing w:before="120" w:after="120"/>
        <w:ind w:left="567" w:hanging="567"/>
        <w:contextualSpacing w:val="0"/>
        <w:rPr>
          <w:rFonts w:ascii="Arial" w:hAnsi="Arial" w:cs="Arial"/>
          <w:b/>
          <w:sz w:val="22"/>
          <w:szCs w:val="22"/>
        </w:rPr>
      </w:pPr>
      <w:r w:rsidRPr="00C328D7">
        <w:rPr>
          <w:rFonts w:ascii="Arial" w:hAnsi="Arial" w:cs="Arial"/>
          <w:b/>
          <w:sz w:val="22"/>
          <w:szCs w:val="22"/>
        </w:rPr>
        <w:t xml:space="preserve">Employment and industrial relations </w:t>
      </w:r>
      <w:r w:rsidRPr="00C328D7">
        <w:rPr>
          <w:rFonts w:ascii="Arial" w:hAnsi="Arial" w:cs="Arial"/>
          <w:sz w:val="22"/>
          <w:szCs w:val="22"/>
        </w:rPr>
        <w:t>advice and representation</w:t>
      </w:r>
      <w:r w:rsidRPr="00C328D7">
        <w:rPr>
          <w:rFonts w:ascii="Arial" w:hAnsi="Arial" w:cs="Arial"/>
          <w:b/>
          <w:sz w:val="22"/>
          <w:szCs w:val="22"/>
        </w:rPr>
        <w:t xml:space="preserve"> </w:t>
      </w:r>
      <w:r w:rsidRPr="00C328D7">
        <w:rPr>
          <w:rFonts w:ascii="Arial" w:hAnsi="Arial" w:cs="Arial"/>
          <w:sz w:val="22"/>
          <w:szCs w:val="22"/>
        </w:rPr>
        <w:t>including:</w:t>
      </w:r>
    </w:p>
    <w:p w:rsidR="00C328D7" w:rsidRPr="00C328D7" w:rsidRDefault="00C328D7" w:rsidP="00C328D7">
      <w:pPr>
        <w:pStyle w:val="ListParagraph"/>
        <w:numPr>
          <w:ilvl w:val="0"/>
          <w:numId w:val="2"/>
        </w:numPr>
        <w:tabs>
          <w:tab w:val="left" w:pos="567"/>
        </w:tabs>
        <w:spacing w:before="40" w:after="40"/>
        <w:rPr>
          <w:rFonts w:ascii="Arial" w:hAnsi="Arial" w:cs="Arial"/>
          <w:sz w:val="22"/>
          <w:szCs w:val="22"/>
        </w:rPr>
      </w:pPr>
      <w:r w:rsidRPr="00C328D7">
        <w:rPr>
          <w:rFonts w:ascii="Arial" w:hAnsi="Arial" w:cs="Arial"/>
          <w:sz w:val="22"/>
          <w:szCs w:val="22"/>
        </w:rPr>
        <w:t>Unfair dismissals (for non iCare matters)</w:t>
      </w:r>
    </w:p>
    <w:p w:rsidR="00C328D7" w:rsidRPr="00C328D7" w:rsidRDefault="00C328D7" w:rsidP="00C328D7">
      <w:pPr>
        <w:pStyle w:val="ListParagraph"/>
        <w:numPr>
          <w:ilvl w:val="0"/>
          <w:numId w:val="2"/>
        </w:numPr>
        <w:tabs>
          <w:tab w:val="left" w:pos="567"/>
        </w:tabs>
        <w:spacing w:before="40" w:after="40"/>
        <w:rPr>
          <w:rFonts w:ascii="Arial" w:hAnsi="Arial" w:cs="Arial"/>
          <w:sz w:val="22"/>
          <w:szCs w:val="22"/>
        </w:rPr>
      </w:pPr>
      <w:r w:rsidRPr="00C328D7">
        <w:rPr>
          <w:rFonts w:ascii="Arial" w:hAnsi="Arial" w:cs="Arial"/>
          <w:sz w:val="22"/>
          <w:szCs w:val="22"/>
        </w:rPr>
        <w:t>Workplace investigations, grievances and disciplinary advice</w:t>
      </w:r>
    </w:p>
    <w:p w:rsidR="00C328D7" w:rsidRPr="00C328D7" w:rsidRDefault="00C328D7" w:rsidP="00C328D7">
      <w:pPr>
        <w:pStyle w:val="ListParagraph"/>
        <w:numPr>
          <w:ilvl w:val="0"/>
          <w:numId w:val="2"/>
        </w:numPr>
        <w:tabs>
          <w:tab w:val="left" w:pos="567"/>
        </w:tabs>
        <w:spacing w:before="40" w:after="40"/>
        <w:rPr>
          <w:rFonts w:ascii="Arial" w:hAnsi="Arial" w:cs="Arial"/>
          <w:sz w:val="22"/>
          <w:szCs w:val="22"/>
        </w:rPr>
      </w:pPr>
      <w:r w:rsidRPr="00C328D7">
        <w:rPr>
          <w:rFonts w:ascii="Arial" w:hAnsi="Arial" w:cs="Arial"/>
          <w:sz w:val="22"/>
          <w:szCs w:val="22"/>
        </w:rPr>
        <w:t>Claims</w:t>
      </w:r>
    </w:p>
    <w:p w:rsidR="00C328D7" w:rsidRPr="00C328D7" w:rsidRDefault="00C328D7" w:rsidP="00C328D7">
      <w:pPr>
        <w:pStyle w:val="ListParagraph"/>
        <w:keepNext/>
        <w:keepLines/>
        <w:numPr>
          <w:ilvl w:val="0"/>
          <w:numId w:val="5"/>
        </w:numPr>
        <w:tabs>
          <w:tab w:val="left" w:pos="567"/>
        </w:tabs>
        <w:spacing w:before="120" w:after="120"/>
        <w:ind w:left="567" w:hanging="567"/>
        <w:contextualSpacing w:val="0"/>
        <w:rPr>
          <w:rFonts w:ascii="Arial" w:hAnsi="Arial" w:cs="Arial"/>
          <w:b/>
          <w:sz w:val="22"/>
          <w:szCs w:val="22"/>
        </w:rPr>
      </w:pPr>
      <w:r w:rsidRPr="00C328D7">
        <w:rPr>
          <w:rFonts w:ascii="Arial" w:hAnsi="Arial" w:cs="Arial"/>
          <w:b/>
          <w:sz w:val="22"/>
          <w:szCs w:val="22"/>
        </w:rPr>
        <w:t xml:space="preserve">Visiting practitioner contract and appointment disputes and appeals </w:t>
      </w:r>
      <w:r w:rsidRPr="00C328D7">
        <w:rPr>
          <w:rFonts w:ascii="Arial" w:hAnsi="Arial" w:cs="Arial"/>
          <w:sz w:val="22"/>
          <w:szCs w:val="22"/>
        </w:rPr>
        <w:t>(Health cluster only)</w:t>
      </w:r>
    </w:p>
    <w:p w:rsidR="00C328D7" w:rsidRPr="00C328D7" w:rsidRDefault="00C328D7" w:rsidP="00C328D7">
      <w:pPr>
        <w:pStyle w:val="ListParagraph"/>
        <w:keepNext/>
        <w:keepLines/>
        <w:numPr>
          <w:ilvl w:val="0"/>
          <w:numId w:val="5"/>
        </w:numPr>
        <w:tabs>
          <w:tab w:val="left" w:pos="567"/>
        </w:tabs>
        <w:spacing w:before="120" w:after="120"/>
        <w:ind w:left="567" w:hanging="567"/>
        <w:contextualSpacing w:val="0"/>
        <w:rPr>
          <w:rFonts w:ascii="Arial" w:hAnsi="Arial" w:cs="Arial"/>
          <w:b/>
          <w:sz w:val="22"/>
          <w:szCs w:val="22"/>
        </w:rPr>
      </w:pPr>
      <w:r w:rsidRPr="00C328D7">
        <w:rPr>
          <w:rFonts w:ascii="Arial" w:hAnsi="Arial" w:cs="Arial"/>
          <w:b/>
          <w:sz w:val="22"/>
          <w:szCs w:val="22"/>
        </w:rPr>
        <w:t xml:space="preserve">NSW Police specific matters </w:t>
      </w:r>
      <w:r w:rsidRPr="00C328D7">
        <w:rPr>
          <w:rFonts w:ascii="Arial" w:hAnsi="Arial" w:cs="Arial"/>
          <w:sz w:val="22"/>
          <w:szCs w:val="22"/>
        </w:rPr>
        <w:t>including:</w:t>
      </w:r>
    </w:p>
    <w:p w:rsidR="00C328D7" w:rsidRPr="00C328D7" w:rsidRDefault="00C328D7" w:rsidP="00C328D7">
      <w:pPr>
        <w:pStyle w:val="ListParagraph"/>
        <w:numPr>
          <w:ilvl w:val="0"/>
          <w:numId w:val="2"/>
        </w:numPr>
        <w:tabs>
          <w:tab w:val="left" w:pos="567"/>
        </w:tabs>
        <w:spacing w:before="40" w:after="40"/>
        <w:rPr>
          <w:rFonts w:ascii="Arial" w:hAnsi="Arial" w:cs="Arial"/>
          <w:sz w:val="22"/>
          <w:szCs w:val="22"/>
        </w:rPr>
      </w:pPr>
      <w:r w:rsidRPr="00C328D7">
        <w:rPr>
          <w:rFonts w:ascii="Arial" w:hAnsi="Arial" w:cs="Arial"/>
          <w:sz w:val="22"/>
          <w:szCs w:val="22"/>
        </w:rPr>
        <w:t>Disciplinary advice and representation</w:t>
      </w:r>
    </w:p>
    <w:p w:rsidR="00C328D7" w:rsidRPr="00C328D7" w:rsidRDefault="00C328D7" w:rsidP="00C328D7">
      <w:pPr>
        <w:pStyle w:val="ListParagraph"/>
        <w:keepNext/>
        <w:keepLines/>
        <w:numPr>
          <w:ilvl w:val="0"/>
          <w:numId w:val="2"/>
        </w:numPr>
        <w:tabs>
          <w:tab w:val="left" w:pos="567"/>
        </w:tabs>
        <w:spacing w:before="40" w:after="40"/>
        <w:ind w:left="924" w:hanging="357"/>
        <w:contextualSpacing w:val="0"/>
        <w:rPr>
          <w:rFonts w:ascii="Arial" w:hAnsi="Arial" w:cs="Arial"/>
          <w:sz w:val="22"/>
          <w:szCs w:val="22"/>
        </w:rPr>
      </w:pPr>
      <w:r w:rsidRPr="00C328D7">
        <w:rPr>
          <w:rFonts w:ascii="Arial" w:hAnsi="Arial" w:cs="Arial"/>
          <w:sz w:val="22"/>
          <w:szCs w:val="22"/>
        </w:rPr>
        <w:t xml:space="preserve">Police injury claims including under the </w:t>
      </w:r>
      <w:r w:rsidRPr="00C328D7">
        <w:rPr>
          <w:rFonts w:ascii="Arial" w:hAnsi="Arial" w:cs="Arial"/>
          <w:i/>
          <w:sz w:val="22"/>
          <w:szCs w:val="22"/>
        </w:rPr>
        <w:t>Police Act 1990</w:t>
      </w:r>
      <w:r w:rsidRPr="00C328D7">
        <w:rPr>
          <w:rFonts w:ascii="Arial" w:hAnsi="Arial" w:cs="Arial"/>
          <w:sz w:val="22"/>
          <w:szCs w:val="22"/>
        </w:rPr>
        <w:t xml:space="preserve"> (including Part 9B) and the </w:t>
      </w:r>
      <w:r w:rsidRPr="00C328D7">
        <w:rPr>
          <w:rFonts w:ascii="Arial" w:hAnsi="Arial" w:cs="Arial"/>
          <w:i/>
          <w:sz w:val="22"/>
          <w:szCs w:val="22"/>
        </w:rPr>
        <w:t>Police Regulation (Superannuation) Act 1906</w:t>
      </w:r>
    </w:p>
    <w:p w:rsidR="00C328D7" w:rsidRPr="00C328D7" w:rsidRDefault="00C328D7" w:rsidP="00C328D7">
      <w:pPr>
        <w:pStyle w:val="ListParagraph"/>
        <w:keepNext/>
        <w:keepLines/>
        <w:numPr>
          <w:ilvl w:val="0"/>
          <w:numId w:val="5"/>
        </w:numPr>
        <w:tabs>
          <w:tab w:val="left" w:pos="567"/>
        </w:tabs>
        <w:spacing w:before="120" w:after="120"/>
        <w:ind w:left="567" w:hanging="567"/>
        <w:contextualSpacing w:val="0"/>
        <w:rPr>
          <w:rFonts w:ascii="Arial" w:hAnsi="Arial" w:cs="Arial"/>
          <w:b/>
          <w:sz w:val="22"/>
          <w:szCs w:val="22"/>
        </w:rPr>
      </w:pPr>
      <w:r w:rsidRPr="00C328D7">
        <w:rPr>
          <w:rFonts w:ascii="Arial" w:hAnsi="Arial" w:cs="Arial"/>
          <w:b/>
          <w:sz w:val="22"/>
          <w:szCs w:val="22"/>
        </w:rPr>
        <w:t xml:space="preserve">Work health and safety </w:t>
      </w:r>
      <w:r w:rsidRPr="00C328D7">
        <w:rPr>
          <w:rFonts w:ascii="Arial" w:hAnsi="Arial" w:cs="Arial"/>
          <w:sz w:val="22"/>
          <w:szCs w:val="22"/>
        </w:rPr>
        <w:t>including:</w:t>
      </w:r>
    </w:p>
    <w:p w:rsidR="00C328D7" w:rsidRPr="00C328D7" w:rsidRDefault="00C328D7" w:rsidP="00C328D7">
      <w:pPr>
        <w:pStyle w:val="ListParagraph"/>
        <w:numPr>
          <w:ilvl w:val="0"/>
          <w:numId w:val="2"/>
        </w:numPr>
        <w:tabs>
          <w:tab w:val="left" w:pos="567"/>
        </w:tabs>
        <w:spacing w:before="40" w:after="40"/>
        <w:rPr>
          <w:rFonts w:ascii="Arial" w:hAnsi="Arial" w:cs="Arial"/>
          <w:sz w:val="22"/>
          <w:szCs w:val="22"/>
        </w:rPr>
      </w:pPr>
      <w:r w:rsidRPr="00C328D7">
        <w:rPr>
          <w:rFonts w:ascii="Arial" w:hAnsi="Arial" w:cs="Arial"/>
          <w:sz w:val="22"/>
          <w:szCs w:val="22"/>
        </w:rPr>
        <w:t>Regulatory compliance (whether as regulator or respondent)</w:t>
      </w:r>
    </w:p>
    <w:p w:rsidR="00C328D7" w:rsidRPr="00C328D7" w:rsidRDefault="00C328D7" w:rsidP="00C328D7">
      <w:pPr>
        <w:pStyle w:val="ListParagraph"/>
        <w:numPr>
          <w:ilvl w:val="0"/>
          <w:numId w:val="2"/>
        </w:numPr>
        <w:tabs>
          <w:tab w:val="left" w:pos="567"/>
        </w:tabs>
        <w:spacing w:before="40" w:after="40"/>
        <w:rPr>
          <w:rFonts w:ascii="Arial" w:hAnsi="Arial" w:cs="Arial"/>
          <w:sz w:val="22"/>
          <w:szCs w:val="22"/>
        </w:rPr>
      </w:pPr>
      <w:r w:rsidRPr="00C328D7">
        <w:rPr>
          <w:rFonts w:ascii="Arial" w:hAnsi="Arial" w:cs="Arial"/>
          <w:sz w:val="22"/>
          <w:szCs w:val="22"/>
        </w:rPr>
        <w:t>Enforcement and litigation, including Mine safety prosecutions*</w:t>
      </w:r>
      <w:r w:rsidRPr="00C328D7">
        <w:rPr>
          <w:rFonts w:ascii="Arial" w:hAnsi="Arial" w:cs="Arial"/>
          <w:sz w:val="22"/>
          <w:szCs w:val="22"/>
        </w:rPr>
        <w:br/>
      </w:r>
      <w:r w:rsidRPr="00C328D7">
        <w:rPr>
          <w:rFonts w:ascii="Arial" w:hAnsi="Arial" w:cs="Arial"/>
          <w:i/>
          <w:sz w:val="22"/>
          <w:szCs w:val="22"/>
        </w:rPr>
        <w:t>* Note: Government prosecution Agencies will only use this Panel when prosecuting non-Government entities.</w:t>
      </w:r>
    </w:p>
    <w:p w:rsidR="00C328D7" w:rsidRPr="00C328D7" w:rsidRDefault="00C328D7" w:rsidP="00C328D7">
      <w:pPr>
        <w:pStyle w:val="ListParagraph"/>
        <w:numPr>
          <w:ilvl w:val="0"/>
          <w:numId w:val="2"/>
        </w:numPr>
        <w:tabs>
          <w:tab w:val="left" w:pos="567"/>
        </w:tabs>
        <w:spacing w:before="40" w:after="40"/>
        <w:ind w:left="924" w:hanging="357"/>
        <w:contextualSpacing w:val="0"/>
        <w:rPr>
          <w:rFonts w:ascii="Arial" w:hAnsi="Arial" w:cs="Arial"/>
          <w:sz w:val="22"/>
          <w:szCs w:val="22"/>
        </w:rPr>
      </w:pPr>
      <w:r w:rsidRPr="00C328D7">
        <w:rPr>
          <w:rFonts w:ascii="Arial" w:hAnsi="Arial" w:cs="Arial"/>
          <w:sz w:val="22"/>
          <w:szCs w:val="22"/>
        </w:rPr>
        <w:t>Industry safety schemes, including construction safety, rail safety, rail safety regulation and accreditation and heavy vehicle safety</w:t>
      </w:r>
    </w:p>
    <w:p w:rsidR="00C328D7" w:rsidRPr="00C328D7" w:rsidRDefault="00C328D7" w:rsidP="00C328D7">
      <w:pPr>
        <w:pStyle w:val="ListParagraph"/>
        <w:keepNext/>
        <w:keepLines/>
        <w:numPr>
          <w:ilvl w:val="0"/>
          <w:numId w:val="5"/>
        </w:numPr>
        <w:tabs>
          <w:tab w:val="left" w:pos="567"/>
        </w:tabs>
        <w:spacing w:before="120" w:after="120"/>
        <w:ind w:left="567" w:hanging="567"/>
        <w:contextualSpacing w:val="0"/>
        <w:rPr>
          <w:rFonts w:ascii="Arial" w:hAnsi="Arial" w:cs="Arial"/>
          <w:sz w:val="22"/>
          <w:szCs w:val="22"/>
        </w:rPr>
      </w:pPr>
      <w:r w:rsidRPr="00C328D7">
        <w:rPr>
          <w:rFonts w:ascii="Arial" w:hAnsi="Arial" w:cs="Arial"/>
          <w:b/>
          <w:sz w:val="22"/>
          <w:szCs w:val="22"/>
        </w:rPr>
        <w:t xml:space="preserve">Discrimination </w:t>
      </w:r>
      <w:r w:rsidRPr="00C328D7">
        <w:rPr>
          <w:rFonts w:ascii="Arial" w:hAnsi="Arial" w:cs="Arial"/>
          <w:sz w:val="22"/>
          <w:szCs w:val="22"/>
        </w:rPr>
        <w:t>(for non iCare matters) advice and representation including:</w:t>
      </w:r>
    </w:p>
    <w:p w:rsidR="00C328D7" w:rsidRPr="00C328D7" w:rsidRDefault="00C328D7" w:rsidP="00C328D7">
      <w:pPr>
        <w:pStyle w:val="ListParagraph"/>
        <w:numPr>
          <w:ilvl w:val="0"/>
          <w:numId w:val="2"/>
        </w:numPr>
        <w:tabs>
          <w:tab w:val="left" w:pos="567"/>
        </w:tabs>
        <w:spacing w:before="40" w:after="40"/>
        <w:rPr>
          <w:rFonts w:ascii="Arial" w:hAnsi="Arial" w:cs="Arial"/>
          <w:sz w:val="22"/>
          <w:szCs w:val="22"/>
        </w:rPr>
      </w:pPr>
      <w:r w:rsidRPr="00C328D7">
        <w:rPr>
          <w:rFonts w:ascii="Arial" w:hAnsi="Arial" w:cs="Arial"/>
          <w:sz w:val="22"/>
          <w:szCs w:val="22"/>
        </w:rPr>
        <w:t>in employment</w:t>
      </w:r>
    </w:p>
    <w:p w:rsidR="00C328D7" w:rsidRPr="00C328D7" w:rsidRDefault="00C328D7" w:rsidP="00C328D7">
      <w:pPr>
        <w:pStyle w:val="ListParagraph"/>
        <w:numPr>
          <w:ilvl w:val="0"/>
          <w:numId w:val="2"/>
        </w:numPr>
        <w:tabs>
          <w:tab w:val="left" w:pos="567"/>
        </w:tabs>
        <w:spacing w:before="40" w:after="40"/>
        <w:rPr>
          <w:rFonts w:ascii="Arial" w:hAnsi="Arial" w:cs="Arial"/>
          <w:sz w:val="22"/>
          <w:szCs w:val="22"/>
        </w:rPr>
      </w:pPr>
      <w:r w:rsidRPr="00C328D7">
        <w:rPr>
          <w:rFonts w:ascii="Arial" w:hAnsi="Arial" w:cs="Arial"/>
          <w:sz w:val="22"/>
          <w:szCs w:val="22"/>
        </w:rPr>
        <w:t>in the provision of goods and services</w:t>
      </w:r>
    </w:p>
    <w:p w:rsidR="00C328D7" w:rsidRPr="00C328D7" w:rsidRDefault="00C328D7" w:rsidP="00C328D7">
      <w:pPr>
        <w:pStyle w:val="ListParagraph"/>
        <w:numPr>
          <w:ilvl w:val="0"/>
          <w:numId w:val="2"/>
        </w:numPr>
        <w:tabs>
          <w:tab w:val="left" w:pos="567"/>
        </w:tabs>
        <w:spacing w:before="40" w:after="40"/>
        <w:rPr>
          <w:rFonts w:ascii="Arial" w:hAnsi="Arial" w:cs="Arial"/>
          <w:sz w:val="22"/>
          <w:szCs w:val="22"/>
        </w:rPr>
      </w:pPr>
      <w:r w:rsidRPr="00C328D7">
        <w:rPr>
          <w:rFonts w:ascii="Arial" w:hAnsi="Arial" w:cs="Arial"/>
          <w:sz w:val="22"/>
          <w:szCs w:val="22"/>
        </w:rPr>
        <w:t>generally, where neither of the above apply but a response is required</w:t>
      </w:r>
    </w:p>
    <w:p w:rsidR="00C328D7" w:rsidRPr="00C328D7" w:rsidRDefault="00C328D7" w:rsidP="00C328D7">
      <w:pPr>
        <w:pStyle w:val="Heading2"/>
        <w:shd w:val="clear" w:color="auto" w:fill="002060"/>
        <w:spacing w:before="240" w:after="120"/>
        <w:rPr>
          <w:rFonts w:cs="Arial"/>
          <w:szCs w:val="24"/>
        </w:rPr>
      </w:pPr>
      <w:bookmarkStart w:id="4" w:name="_Toc437355258"/>
      <w:r w:rsidRPr="00C328D7">
        <w:rPr>
          <w:rFonts w:cs="Arial"/>
          <w:szCs w:val="24"/>
        </w:rPr>
        <w:t xml:space="preserve">Sub Panel 5 – Administrative law, Government and Regulatory </w:t>
      </w:r>
      <w:bookmarkEnd w:id="4"/>
    </w:p>
    <w:p w:rsidR="00C328D7" w:rsidRPr="00C328D7" w:rsidRDefault="00C328D7" w:rsidP="00C328D7">
      <w:pPr>
        <w:pStyle w:val="ListParagraph"/>
        <w:numPr>
          <w:ilvl w:val="0"/>
          <w:numId w:val="6"/>
        </w:numPr>
        <w:spacing w:before="120" w:after="120"/>
        <w:ind w:left="567" w:hanging="567"/>
        <w:contextualSpacing w:val="0"/>
        <w:rPr>
          <w:rFonts w:ascii="Arial" w:hAnsi="Arial" w:cs="Arial"/>
          <w:sz w:val="22"/>
          <w:szCs w:val="22"/>
        </w:rPr>
      </w:pPr>
      <w:r w:rsidRPr="00C328D7">
        <w:rPr>
          <w:rFonts w:ascii="Arial" w:hAnsi="Arial" w:cs="Arial"/>
          <w:b/>
          <w:sz w:val="22"/>
          <w:szCs w:val="22"/>
        </w:rPr>
        <w:t>Administrative law, statutory interpretation and governance advice</w:t>
      </w:r>
      <w:r w:rsidRPr="00C328D7">
        <w:rPr>
          <w:rFonts w:ascii="Arial" w:hAnsi="Arial" w:cs="Arial"/>
          <w:sz w:val="22"/>
          <w:szCs w:val="22"/>
        </w:rPr>
        <w:t>, including:</w:t>
      </w:r>
    </w:p>
    <w:p w:rsidR="00C328D7" w:rsidRPr="00C328D7" w:rsidRDefault="00C328D7" w:rsidP="00C328D7">
      <w:pPr>
        <w:pStyle w:val="ListParagraph"/>
        <w:numPr>
          <w:ilvl w:val="0"/>
          <w:numId w:val="2"/>
        </w:numPr>
        <w:tabs>
          <w:tab w:val="left" w:pos="567"/>
        </w:tabs>
        <w:spacing w:before="40" w:after="40"/>
        <w:rPr>
          <w:rFonts w:ascii="Arial" w:hAnsi="Arial" w:cs="Arial"/>
          <w:sz w:val="22"/>
          <w:szCs w:val="22"/>
        </w:rPr>
      </w:pPr>
      <w:r w:rsidRPr="00C328D7">
        <w:rPr>
          <w:rFonts w:ascii="Arial" w:hAnsi="Arial" w:cs="Arial"/>
          <w:sz w:val="22"/>
          <w:szCs w:val="22"/>
        </w:rPr>
        <w:t>Judicial review (for matters not covered by another Panel)</w:t>
      </w:r>
    </w:p>
    <w:p w:rsidR="00C328D7" w:rsidRPr="00C328D7" w:rsidRDefault="00C328D7" w:rsidP="00C328D7">
      <w:pPr>
        <w:pStyle w:val="ListParagraph"/>
        <w:numPr>
          <w:ilvl w:val="0"/>
          <w:numId w:val="2"/>
        </w:numPr>
        <w:tabs>
          <w:tab w:val="left" w:pos="567"/>
        </w:tabs>
        <w:spacing w:before="40" w:after="40"/>
        <w:rPr>
          <w:rFonts w:ascii="Arial" w:hAnsi="Arial" w:cs="Arial"/>
          <w:sz w:val="22"/>
          <w:szCs w:val="22"/>
        </w:rPr>
      </w:pPr>
      <w:r w:rsidRPr="00C328D7">
        <w:rPr>
          <w:rFonts w:ascii="Arial" w:hAnsi="Arial" w:cs="Arial"/>
          <w:sz w:val="22"/>
          <w:szCs w:val="22"/>
        </w:rPr>
        <w:t>Merits reviews and related appeals or applications (for matters not covered by another Panel)</w:t>
      </w:r>
    </w:p>
    <w:p w:rsidR="00C328D7" w:rsidRPr="00C328D7" w:rsidRDefault="00C328D7" w:rsidP="00C328D7">
      <w:pPr>
        <w:pStyle w:val="ListParagraph"/>
        <w:numPr>
          <w:ilvl w:val="0"/>
          <w:numId w:val="2"/>
        </w:numPr>
        <w:tabs>
          <w:tab w:val="left" w:pos="567"/>
        </w:tabs>
        <w:spacing w:before="40" w:after="40"/>
        <w:rPr>
          <w:rFonts w:ascii="Arial" w:hAnsi="Arial" w:cs="Arial"/>
          <w:sz w:val="22"/>
          <w:szCs w:val="22"/>
        </w:rPr>
      </w:pPr>
      <w:r w:rsidRPr="00C328D7">
        <w:rPr>
          <w:rFonts w:ascii="Arial" w:hAnsi="Arial" w:cs="Arial"/>
          <w:sz w:val="22"/>
          <w:szCs w:val="22"/>
        </w:rPr>
        <w:t>Privacy (including personal and health information), data protection, privacy impact assessments and data breaches</w:t>
      </w:r>
    </w:p>
    <w:p w:rsidR="00C328D7" w:rsidRPr="00C328D7" w:rsidRDefault="00C328D7" w:rsidP="00C328D7">
      <w:pPr>
        <w:pStyle w:val="ListParagraph"/>
        <w:numPr>
          <w:ilvl w:val="0"/>
          <w:numId w:val="2"/>
        </w:numPr>
        <w:tabs>
          <w:tab w:val="left" w:pos="567"/>
        </w:tabs>
        <w:spacing w:before="40" w:after="40"/>
        <w:rPr>
          <w:rFonts w:ascii="Arial" w:hAnsi="Arial" w:cs="Arial"/>
          <w:sz w:val="22"/>
          <w:szCs w:val="22"/>
        </w:rPr>
      </w:pPr>
      <w:r w:rsidRPr="00C328D7">
        <w:rPr>
          <w:rFonts w:ascii="Arial" w:hAnsi="Arial" w:cs="Arial"/>
          <w:i/>
          <w:sz w:val="22"/>
          <w:szCs w:val="22"/>
        </w:rPr>
        <w:t>Government Information (Public Access) Act</w:t>
      </w:r>
      <w:r w:rsidRPr="00C328D7">
        <w:rPr>
          <w:rFonts w:ascii="Arial" w:hAnsi="Arial" w:cs="Arial"/>
          <w:sz w:val="22"/>
          <w:szCs w:val="22"/>
        </w:rPr>
        <w:t xml:space="preserve"> advice and representation</w:t>
      </w:r>
    </w:p>
    <w:p w:rsidR="00C328D7" w:rsidRPr="00C328D7" w:rsidRDefault="00C328D7" w:rsidP="00C328D7">
      <w:pPr>
        <w:pStyle w:val="ListParagraph"/>
        <w:numPr>
          <w:ilvl w:val="0"/>
          <w:numId w:val="2"/>
        </w:numPr>
        <w:tabs>
          <w:tab w:val="left" w:pos="567"/>
        </w:tabs>
        <w:spacing w:before="40" w:after="40"/>
        <w:rPr>
          <w:rFonts w:ascii="Arial" w:hAnsi="Arial" w:cs="Arial"/>
          <w:sz w:val="22"/>
          <w:szCs w:val="22"/>
        </w:rPr>
      </w:pPr>
      <w:r w:rsidRPr="00C328D7">
        <w:rPr>
          <w:rFonts w:ascii="Arial" w:hAnsi="Arial" w:cs="Arial"/>
          <w:sz w:val="22"/>
          <w:szCs w:val="22"/>
        </w:rPr>
        <w:t>Preparation and/or review of policy and/or procedures</w:t>
      </w:r>
    </w:p>
    <w:p w:rsidR="00C328D7" w:rsidRPr="00C328D7" w:rsidRDefault="00C328D7" w:rsidP="00C328D7">
      <w:pPr>
        <w:pStyle w:val="ListParagraph"/>
        <w:numPr>
          <w:ilvl w:val="0"/>
          <w:numId w:val="2"/>
        </w:numPr>
        <w:tabs>
          <w:tab w:val="left" w:pos="567"/>
        </w:tabs>
        <w:spacing w:before="40" w:after="40"/>
        <w:rPr>
          <w:rFonts w:ascii="Arial" w:hAnsi="Arial" w:cs="Arial"/>
          <w:sz w:val="22"/>
          <w:szCs w:val="22"/>
        </w:rPr>
      </w:pPr>
      <w:r w:rsidRPr="00C328D7">
        <w:rPr>
          <w:rFonts w:ascii="Arial" w:hAnsi="Arial" w:cs="Arial"/>
          <w:sz w:val="22"/>
          <w:szCs w:val="22"/>
        </w:rPr>
        <w:t>Statutory interpretation and advice for non-core matters not covered by another panel</w:t>
      </w:r>
    </w:p>
    <w:p w:rsidR="00C328D7" w:rsidRPr="00C328D7" w:rsidRDefault="00C328D7" w:rsidP="00C328D7">
      <w:pPr>
        <w:pStyle w:val="ListParagraph"/>
        <w:numPr>
          <w:ilvl w:val="0"/>
          <w:numId w:val="2"/>
        </w:numPr>
        <w:tabs>
          <w:tab w:val="left" w:pos="567"/>
        </w:tabs>
        <w:spacing w:before="40" w:after="40"/>
        <w:rPr>
          <w:rFonts w:ascii="Arial" w:hAnsi="Arial" w:cs="Arial"/>
          <w:sz w:val="22"/>
          <w:szCs w:val="22"/>
        </w:rPr>
      </w:pPr>
      <w:r w:rsidRPr="00C328D7">
        <w:rPr>
          <w:rFonts w:ascii="Arial" w:hAnsi="Arial" w:cs="Arial"/>
          <w:sz w:val="22"/>
          <w:szCs w:val="22"/>
        </w:rPr>
        <w:t>General legal and/or policy advice on statutory and regulatory schemes (including aviation)</w:t>
      </w:r>
    </w:p>
    <w:p w:rsidR="00C328D7" w:rsidRPr="00C328D7" w:rsidRDefault="00C328D7" w:rsidP="00C328D7">
      <w:pPr>
        <w:pStyle w:val="ListParagraph"/>
        <w:numPr>
          <w:ilvl w:val="0"/>
          <w:numId w:val="2"/>
        </w:numPr>
        <w:tabs>
          <w:tab w:val="left" w:pos="567"/>
        </w:tabs>
        <w:spacing w:before="40" w:after="40"/>
        <w:rPr>
          <w:rFonts w:ascii="Arial" w:hAnsi="Arial" w:cs="Arial"/>
          <w:sz w:val="22"/>
          <w:szCs w:val="22"/>
        </w:rPr>
      </w:pPr>
      <w:r w:rsidRPr="00C328D7">
        <w:rPr>
          <w:rFonts w:ascii="Arial" w:hAnsi="Arial" w:cs="Arial"/>
          <w:sz w:val="22"/>
          <w:szCs w:val="22"/>
        </w:rPr>
        <w:t>Firearms, security and other licensing matters conducted for NSW Police Force</w:t>
      </w:r>
    </w:p>
    <w:p w:rsidR="00C328D7" w:rsidRPr="00C328D7" w:rsidRDefault="00C328D7" w:rsidP="00C328D7">
      <w:pPr>
        <w:pStyle w:val="ListParagraph"/>
        <w:numPr>
          <w:ilvl w:val="0"/>
          <w:numId w:val="6"/>
        </w:numPr>
        <w:spacing w:before="120" w:after="120"/>
        <w:ind w:left="567" w:hanging="567"/>
        <w:contextualSpacing w:val="0"/>
        <w:rPr>
          <w:rFonts w:ascii="Arial" w:hAnsi="Arial" w:cs="Arial"/>
          <w:b/>
          <w:sz w:val="22"/>
          <w:szCs w:val="22"/>
        </w:rPr>
      </w:pPr>
      <w:r w:rsidRPr="00C328D7">
        <w:rPr>
          <w:rFonts w:ascii="Arial" w:hAnsi="Arial" w:cs="Arial"/>
          <w:b/>
          <w:sz w:val="22"/>
          <w:szCs w:val="22"/>
        </w:rPr>
        <w:t xml:space="preserve">Statutory Applications </w:t>
      </w:r>
      <w:r w:rsidRPr="00C328D7">
        <w:rPr>
          <w:rFonts w:ascii="Arial" w:hAnsi="Arial" w:cs="Arial"/>
          <w:sz w:val="22"/>
          <w:szCs w:val="22"/>
        </w:rPr>
        <w:t>including liquor, gaming, restricted premises, serious crime prevention orders and public assembly advice and representation.</w:t>
      </w:r>
    </w:p>
    <w:p w:rsidR="00C328D7" w:rsidRPr="00C328D7" w:rsidRDefault="00C328D7" w:rsidP="00C328D7">
      <w:pPr>
        <w:pStyle w:val="ListParagraph"/>
        <w:numPr>
          <w:ilvl w:val="0"/>
          <w:numId w:val="6"/>
        </w:numPr>
        <w:spacing w:before="120" w:after="120"/>
        <w:ind w:left="567" w:hanging="567"/>
        <w:contextualSpacing w:val="0"/>
        <w:rPr>
          <w:rFonts w:ascii="Arial" w:hAnsi="Arial" w:cs="Arial"/>
          <w:sz w:val="22"/>
          <w:szCs w:val="22"/>
        </w:rPr>
      </w:pPr>
      <w:r w:rsidRPr="00C328D7">
        <w:rPr>
          <w:rFonts w:ascii="Arial" w:hAnsi="Arial" w:cs="Arial"/>
          <w:b/>
          <w:sz w:val="22"/>
          <w:szCs w:val="22"/>
        </w:rPr>
        <w:lastRenderedPageBreak/>
        <w:t xml:space="preserve">Enforcement, regulation and prosecution </w:t>
      </w:r>
      <w:r w:rsidRPr="00C328D7">
        <w:rPr>
          <w:rFonts w:ascii="Arial" w:hAnsi="Arial" w:cs="Arial"/>
          <w:sz w:val="22"/>
          <w:szCs w:val="22"/>
        </w:rPr>
        <w:t>including:</w:t>
      </w:r>
    </w:p>
    <w:p w:rsidR="00C328D7" w:rsidRPr="00C328D7" w:rsidRDefault="00C328D7" w:rsidP="00C328D7">
      <w:pPr>
        <w:pStyle w:val="ListParagraph"/>
        <w:numPr>
          <w:ilvl w:val="0"/>
          <w:numId w:val="2"/>
        </w:numPr>
        <w:tabs>
          <w:tab w:val="left" w:pos="567"/>
        </w:tabs>
        <w:spacing w:before="40" w:after="40"/>
        <w:rPr>
          <w:rFonts w:ascii="Arial" w:hAnsi="Arial" w:cs="Arial"/>
          <w:sz w:val="22"/>
          <w:szCs w:val="22"/>
        </w:rPr>
      </w:pPr>
      <w:r w:rsidRPr="00C328D7">
        <w:rPr>
          <w:rFonts w:ascii="Arial" w:hAnsi="Arial" w:cs="Arial"/>
          <w:sz w:val="22"/>
          <w:szCs w:val="22"/>
        </w:rPr>
        <w:t xml:space="preserve">Road Transport law (including the Heavy Vehicle National Law) </w:t>
      </w:r>
    </w:p>
    <w:p w:rsidR="00C328D7" w:rsidRPr="00C328D7" w:rsidRDefault="00C328D7" w:rsidP="00C328D7">
      <w:pPr>
        <w:pStyle w:val="ListParagraph"/>
        <w:numPr>
          <w:ilvl w:val="0"/>
          <w:numId w:val="2"/>
        </w:numPr>
        <w:tabs>
          <w:tab w:val="left" w:pos="567"/>
        </w:tabs>
        <w:spacing w:before="40" w:after="40"/>
        <w:rPr>
          <w:rFonts w:ascii="Arial" w:hAnsi="Arial" w:cs="Arial"/>
          <w:sz w:val="22"/>
          <w:szCs w:val="22"/>
        </w:rPr>
      </w:pPr>
      <w:r w:rsidRPr="00C328D7">
        <w:rPr>
          <w:rFonts w:ascii="Arial" w:hAnsi="Arial" w:cs="Arial"/>
          <w:sz w:val="22"/>
          <w:szCs w:val="22"/>
        </w:rPr>
        <w:t>Passenger Transport and Point to Point Transport law</w:t>
      </w:r>
    </w:p>
    <w:p w:rsidR="00C328D7" w:rsidRPr="00C328D7" w:rsidRDefault="00C328D7" w:rsidP="00C328D7">
      <w:pPr>
        <w:pStyle w:val="ListParagraph"/>
        <w:numPr>
          <w:ilvl w:val="0"/>
          <w:numId w:val="2"/>
        </w:numPr>
        <w:tabs>
          <w:tab w:val="left" w:pos="567"/>
        </w:tabs>
        <w:spacing w:before="40" w:after="40"/>
        <w:rPr>
          <w:rFonts w:ascii="Arial" w:hAnsi="Arial" w:cs="Arial"/>
          <w:sz w:val="22"/>
          <w:szCs w:val="22"/>
        </w:rPr>
      </w:pPr>
      <w:r w:rsidRPr="00C328D7">
        <w:rPr>
          <w:rFonts w:ascii="Arial" w:hAnsi="Arial" w:cs="Arial"/>
          <w:sz w:val="22"/>
          <w:szCs w:val="22"/>
        </w:rPr>
        <w:t>Marine Safety and Marine Pollution law</w:t>
      </w:r>
    </w:p>
    <w:p w:rsidR="00C328D7" w:rsidRPr="00C328D7" w:rsidRDefault="00C328D7" w:rsidP="00C328D7">
      <w:pPr>
        <w:pStyle w:val="Heading2"/>
        <w:shd w:val="clear" w:color="auto" w:fill="002060"/>
        <w:spacing w:before="240" w:after="120"/>
        <w:rPr>
          <w:rFonts w:cs="Arial"/>
          <w:szCs w:val="24"/>
        </w:rPr>
      </w:pPr>
      <w:bookmarkStart w:id="5" w:name="_Toc437355259"/>
      <w:r w:rsidRPr="00C328D7">
        <w:rPr>
          <w:rFonts w:cs="Arial"/>
          <w:szCs w:val="24"/>
        </w:rPr>
        <w:t xml:space="preserve">Sub Panel 6 – Litigation and Inquiries </w:t>
      </w:r>
      <w:bookmarkEnd w:id="5"/>
    </w:p>
    <w:p w:rsidR="00C328D7" w:rsidRPr="00C328D7" w:rsidRDefault="00C328D7" w:rsidP="00C328D7">
      <w:pPr>
        <w:pStyle w:val="ListParagraph"/>
        <w:numPr>
          <w:ilvl w:val="0"/>
          <w:numId w:val="7"/>
        </w:numPr>
        <w:tabs>
          <w:tab w:val="left" w:pos="567"/>
        </w:tabs>
        <w:spacing w:before="120" w:after="120"/>
        <w:ind w:left="567" w:hanging="567"/>
        <w:contextualSpacing w:val="0"/>
        <w:rPr>
          <w:rFonts w:ascii="Arial" w:hAnsi="Arial" w:cs="Arial"/>
          <w:sz w:val="22"/>
          <w:szCs w:val="22"/>
        </w:rPr>
      </w:pPr>
      <w:r w:rsidRPr="00C328D7">
        <w:rPr>
          <w:rFonts w:ascii="Arial" w:hAnsi="Arial" w:cs="Arial"/>
          <w:b/>
          <w:sz w:val="22"/>
          <w:szCs w:val="22"/>
        </w:rPr>
        <w:t xml:space="preserve">Liability litigation </w:t>
      </w:r>
      <w:r w:rsidRPr="00C328D7">
        <w:rPr>
          <w:rFonts w:ascii="Arial" w:hAnsi="Arial" w:cs="Arial"/>
          <w:sz w:val="22"/>
          <w:szCs w:val="22"/>
        </w:rPr>
        <w:t>(non iCare matters only)</w:t>
      </w:r>
    </w:p>
    <w:p w:rsidR="00C328D7" w:rsidRPr="00C328D7" w:rsidRDefault="00C328D7" w:rsidP="00C328D7">
      <w:pPr>
        <w:pStyle w:val="ListParagraph"/>
        <w:numPr>
          <w:ilvl w:val="0"/>
          <w:numId w:val="7"/>
        </w:numPr>
        <w:tabs>
          <w:tab w:val="left" w:pos="567"/>
        </w:tabs>
        <w:spacing w:before="120" w:after="120"/>
        <w:ind w:left="567" w:hanging="567"/>
        <w:contextualSpacing w:val="0"/>
        <w:rPr>
          <w:rFonts w:ascii="Arial" w:hAnsi="Arial" w:cs="Arial"/>
          <w:sz w:val="22"/>
          <w:szCs w:val="22"/>
        </w:rPr>
      </w:pPr>
      <w:r w:rsidRPr="00C328D7">
        <w:rPr>
          <w:rFonts w:ascii="Arial" w:hAnsi="Arial" w:cs="Arial"/>
          <w:b/>
          <w:sz w:val="22"/>
          <w:szCs w:val="22"/>
        </w:rPr>
        <w:t>General Litigation, Dispute Resolution and Debt Recovery</w:t>
      </w:r>
      <w:bookmarkStart w:id="6" w:name="_GoBack"/>
      <w:bookmarkEnd w:id="6"/>
    </w:p>
    <w:p w:rsidR="00C328D7" w:rsidRPr="00C328D7" w:rsidRDefault="00C328D7" w:rsidP="00C328D7">
      <w:pPr>
        <w:pStyle w:val="ListParagraph"/>
        <w:numPr>
          <w:ilvl w:val="0"/>
          <w:numId w:val="7"/>
        </w:numPr>
        <w:tabs>
          <w:tab w:val="left" w:pos="567"/>
        </w:tabs>
        <w:spacing w:before="120" w:after="120"/>
        <w:ind w:left="567" w:hanging="567"/>
        <w:contextualSpacing w:val="0"/>
        <w:rPr>
          <w:rFonts w:ascii="Arial" w:hAnsi="Arial" w:cs="Arial"/>
          <w:b/>
          <w:sz w:val="22"/>
          <w:szCs w:val="22"/>
        </w:rPr>
      </w:pPr>
      <w:r w:rsidRPr="00C328D7">
        <w:rPr>
          <w:rFonts w:ascii="Arial" w:hAnsi="Arial" w:cs="Arial"/>
          <w:b/>
          <w:sz w:val="22"/>
          <w:szCs w:val="22"/>
        </w:rPr>
        <w:t xml:space="preserve">Inquiries </w:t>
      </w:r>
      <w:r w:rsidRPr="00C328D7">
        <w:rPr>
          <w:rFonts w:ascii="Arial" w:hAnsi="Arial" w:cs="Arial"/>
          <w:sz w:val="22"/>
          <w:szCs w:val="22"/>
        </w:rPr>
        <w:t>including:</w:t>
      </w:r>
    </w:p>
    <w:p w:rsidR="00C328D7" w:rsidRPr="00C328D7" w:rsidRDefault="00C328D7" w:rsidP="00C328D7">
      <w:pPr>
        <w:pStyle w:val="ListParagraph"/>
        <w:numPr>
          <w:ilvl w:val="0"/>
          <w:numId w:val="2"/>
        </w:numPr>
        <w:tabs>
          <w:tab w:val="left" w:pos="567"/>
        </w:tabs>
        <w:spacing w:before="40" w:after="40"/>
        <w:rPr>
          <w:rFonts w:ascii="Arial" w:hAnsi="Arial" w:cs="Arial"/>
          <w:sz w:val="22"/>
          <w:szCs w:val="22"/>
        </w:rPr>
      </w:pPr>
      <w:r w:rsidRPr="00C328D7">
        <w:rPr>
          <w:rFonts w:ascii="Arial" w:hAnsi="Arial" w:cs="Arial"/>
          <w:sz w:val="22"/>
          <w:szCs w:val="22"/>
        </w:rPr>
        <w:t>ICAC and LECC investigations</w:t>
      </w:r>
    </w:p>
    <w:p w:rsidR="00C328D7" w:rsidRPr="00C328D7" w:rsidRDefault="00C328D7" w:rsidP="00C328D7">
      <w:pPr>
        <w:pStyle w:val="ListParagraph"/>
        <w:numPr>
          <w:ilvl w:val="0"/>
          <w:numId w:val="2"/>
        </w:numPr>
        <w:tabs>
          <w:tab w:val="left" w:pos="567"/>
        </w:tabs>
        <w:spacing w:before="40" w:after="40"/>
        <w:rPr>
          <w:rFonts w:ascii="Arial" w:hAnsi="Arial" w:cs="Arial"/>
          <w:sz w:val="22"/>
          <w:szCs w:val="22"/>
        </w:rPr>
      </w:pPr>
      <w:r w:rsidRPr="00C328D7">
        <w:rPr>
          <w:rFonts w:ascii="Arial" w:hAnsi="Arial" w:cs="Arial"/>
          <w:sz w:val="22"/>
          <w:szCs w:val="22"/>
        </w:rPr>
        <w:t>Royal Commissions and Special Commissions not reserved to the NSW Crown Solicitor</w:t>
      </w:r>
    </w:p>
    <w:p w:rsidR="00C328D7" w:rsidRPr="00C328D7" w:rsidRDefault="00C328D7" w:rsidP="00C328D7">
      <w:pPr>
        <w:pStyle w:val="ListParagraph"/>
        <w:numPr>
          <w:ilvl w:val="0"/>
          <w:numId w:val="2"/>
        </w:numPr>
        <w:tabs>
          <w:tab w:val="left" w:pos="567"/>
        </w:tabs>
        <w:spacing w:before="40" w:after="40"/>
        <w:rPr>
          <w:rFonts w:ascii="Arial" w:hAnsi="Arial" w:cs="Arial"/>
          <w:sz w:val="22"/>
          <w:szCs w:val="22"/>
        </w:rPr>
      </w:pPr>
      <w:r w:rsidRPr="00C328D7">
        <w:rPr>
          <w:rFonts w:ascii="Arial" w:hAnsi="Arial" w:cs="Arial"/>
          <w:sz w:val="22"/>
          <w:szCs w:val="22"/>
        </w:rPr>
        <w:t>Ombudsman investigations</w:t>
      </w:r>
    </w:p>
    <w:p w:rsidR="00C328D7" w:rsidRPr="00C328D7" w:rsidRDefault="00C328D7" w:rsidP="00C328D7">
      <w:pPr>
        <w:pStyle w:val="ListParagraph"/>
        <w:numPr>
          <w:ilvl w:val="0"/>
          <w:numId w:val="2"/>
        </w:numPr>
        <w:tabs>
          <w:tab w:val="left" w:pos="567"/>
        </w:tabs>
        <w:spacing w:before="40" w:after="40"/>
        <w:rPr>
          <w:rFonts w:ascii="Arial" w:hAnsi="Arial" w:cs="Arial"/>
          <w:sz w:val="22"/>
          <w:szCs w:val="22"/>
        </w:rPr>
      </w:pPr>
      <w:r w:rsidRPr="00C328D7">
        <w:rPr>
          <w:rFonts w:ascii="Arial" w:hAnsi="Arial" w:cs="Arial"/>
          <w:sz w:val="22"/>
          <w:szCs w:val="22"/>
        </w:rPr>
        <w:t>Inquests (for non iCare matters)</w:t>
      </w:r>
    </w:p>
    <w:p w:rsidR="00C328D7" w:rsidRPr="00C328D7" w:rsidRDefault="00C328D7" w:rsidP="00C328D7">
      <w:pPr>
        <w:pStyle w:val="Heading2"/>
        <w:shd w:val="clear" w:color="auto" w:fill="002060"/>
        <w:spacing w:before="240" w:after="120"/>
        <w:rPr>
          <w:rFonts w:cs="Arial"/>
          <w:szCs w:val="24"/>
        </w:rPr>
      </w:pPr>
      <w:r w:rsidRPr="00C328D7">
        <w:rPr>
          <w:rFonts w:cs="Arial"/>
          <w:szCs w:val="24"/>
        </w:rPr>
        <w:t>Sub Panel 7 – Legal Support Services</w:t>
      </w:r>
    </w:p>
    <w:p w:rsidR="00C328D7" w:rsidRPr="00C328D7" w:rsidRDefault="00C328D7" w:rsidP="00C328D7">
      <w:pPr>
        <w:pStyle w:val="ListParagraph"/>
        <w:numPr>
          <w:ilvl w:val="0"/>
          <w:numId w:val="8"/>
        </w:numPr>
        <w:tabs>
          <w:tab w:val="left" w:pos="567"/>
        </w:tabs>
        <w:spacing w:before="120" w:after="120"/>
        <w:ind w:left="567" w:hanging="567"/>
        <w:contextualSpacing w:val="0"/>
        <w:rPr>
          <w:rFonts w:ascii="Arial" w:hAnsi="Arial" w:cs="Arial"/>
          <w:b/>
          <w:bCs/>
          <w:sz w:val="22"/>
          <w:szCs w:val="22"/>
        </w:rPr>
      </w:pPr>
      <w:r w:rsidRPr="00C328D7">
        <w:rPr>
          <w:rFonts w:ascii="Arial" w:hAnsi="Arial" w:cs="Arial"/>
          <w:b/>
          <w:sz w:val="22"/>
          <w:szCs w:val="22"/>
        </w:rPr>
        <w:t xml:space="preserve">Document discovery </w:t>
      </w:r>
      <w:r w:rsidRPr="00C328D7">
        <w:rPr>
          <w:rFonts w:ascii="Arial" w:hAnsi="Arial" w:cs="Arial"/>
          <w:sz w:val="22"/>
          <w:szCs w:val="22"/>
        </w:rPr>
        <w:t>in support of inquiries or Standing Order 52 information requests and including some or all of:</w:t>
      </w:r>
    </w:p>
    <w:p w:rsidR="00C328D7" w:rsidRPr="00C328D7" w:rsidRDefault="00C328D7" w:rsidP="00C328D7">
      <w:pPr>
        <w:pStyle w:val="ListParagraph"/>
        <w:numPr>
          <w:ilvl w:val="0"/>
          <w:numId w:val="2"/>
        </w:numPr>
        <w:tabs>
          <w:tab w:val="left" w:pos="567"/>
        </w:tabs>
        <w:spacing w:before="40" w:after="40"/>
        <w:rPr>
          <w:rFonts w:ascii="Arial" w:hAnsi="Arial" w:cs="Arial"/>
          <w:sz w:val="22"/>
          <w:szCs w:val="22"/>
        </w:rPr>
      </w:pPr>
      <w:r w:rsidRPr="00C328D7">
        <w:rPr>
          <w:rFonts w:ascii="Arial" w:hAnsi="Arial" w:cs="Arial"/>
          <w:sz w:val="22"/>
          <w:szCs w:val="22"/>
        </w:rPr>
        <w:t>document digitisation and production</w:t>
      </w:r>
    </w:p>
    <w:p w:rsidR="00C328D7" w:rsidRPr="00C328D7" w:rsidRDefault="00C328D7" w:rsidP="00C328D7">
      <w:pPr>
        <w:pStyle w:val="ListParagraph"/>
        <w:numPr>
          <w:ilvl w:val="0"/>
          <w:numId w:val="2"/>
        </w:numPr>
        <w:tabs>
          <w:tab w:val="left" w:pos="567"/>
        </w:tabs>
        <w:spacing w:before="40" w:after="40"/>
        <w:rPr>
          <w:rFonts w:ascii="Arial" w:hAnsi="Arial" w:cs="Arial"/>
          <w:sz w:val="22"/>
          <w:szCs w:val="22"/>
        </w:rPr>
      </w:pPr>
      <w:r w:rsidRPr="00C328D7">
        <w:rPr>
          <w:rFonts w:ascii="Arial" w:hAnsi="Arial" w:cs="Arial"/>
          <w:sz w:val="22"/>
          <w:szCs w:val="22"/>
        </w:rPr>
        <w:t>process design and advice</w:t>
      </w:r>
    </w:p>
    <w:p w:rsidR="00C328D7" w:rsidRPr="00C328D7" w:rsidRDefault="00C328D7" w:rsidP="00C328D7">
      <w:pPr>
        <w:pStyle w:val="ListParagraph"/>
        <w:numPr>
          <w:ilvl w:val="0"/>
          <w:numId w:val="2"/>
        </w:numPr>
        <w:tabs>
          <w:tab w:val="left" w:pos="567"/>
        </w:tabs>
        <w:spacing w:before="40" w:after="40"/>
        <w:rPr>
          <w:rFonts w:ascii="Arial" w:hAnsi="Arial" w:cs="Arial"/>
          <w:sz w:val="22"/>
          <w:szCs w:val="22"/>
        </w:rPr>
      </w:pPr>
      <w:r w:rsidRPr="00C328D7">
        <w:rPr>
          <w:rFonts w:ascii="Arial" w:hAnsi="Arial" w:cs="Arial"/>
          <w:sz w:val="22"/>
          <w:szCs w:val="22"/>
        </w:rPr>
        <w:t>project management</w:t>
      </w:r>
    </w:p>
    <w:p w:rsidR="00C328D7" w:rsidRPr="00C328D7" w:rsidRDefault="00C328D7" w:rsidP="00C328D7">
      <w:pPr>
        <w:pStyle w:val="ListParagraph"/>
        <w:numPr>
          <w:ilvl w:val="0"/>
          <w:numId w:val="2"/>
        </w:numPr>
        <w:tabs>
          <w:tab w:val="left" w:pos="567"/>
        </w:tabs>
        <w:spacing w:before="40" w:after="40"/>
        <w:rPr>
          <w:rFonts w:ascii="Arial" w:hAnsi="Arial" w:cs="Arial"/>
          <w:sz w:val="22"/>
          <w:szCs w:val="22"/>
        </w:rPr>
      </w:pPr>
      <w:r w:rsidRPr="00C328D7">
        <w:rPr>
          <w:rFonts w:ascii="Arial" w:hAnsi="Arial" w:cs="Arial"/>
          <w:sz w:val="22"/>
          <w:szCs w:val="22"/>
        </w:rPr>
        <w:t>technology assisted review (support in the use of attended machine learning to reduce price and increase accuracy of document discovery and subsequent review)</w:t>
      </w:r>
    </w:p>
    <w:p w:rsidR="00C328D7" w:rsidRPr="00C328D7" w:rsidRDefault="00C328D7" w:rsidP="00C328D7">
      <w:pPr>
        <w:pStyle w:val="ListParagraph"/>
        <w:numPr>
          <w:ilvl w:val="0"/>
          <w:numId w:val="8"/>
        </w:numPr>
        <w:tabs>
          <w:tab w:val="left" w:pos="567"/>
        </w:tabs>
        <w:spacing w:before="120" w:after="120"/>
        <w:ind w:left="567" w:hanging="567"/>
        <w:contextualSpacing w:val="0"/>
        <w:rPr>
          <w:rFonts w:ascii="Arial" w:hAnsi="Arial" w:cs="Arial"/>
          <w:b/>
          <w:sz w:val="22"/>
          <w:szCs w:val="22"/>
        </w:rPr>
      </w:pPr>
      <w:r w:rsidRPr="00C328D7">
        <w:rPr>
          <w:rFonts w:ascii="Arial" w:hAnsi="Arial" w:cs="Arial"/>
          <w:b/>
          <w:sz w:val="22"/>
          <w:szCs w:val="22"/>
        </w:rPr>
        <w:t xml:space="preserve">Document production services </w:t>
      </w:r>
      <w:r w:rsidRPr="00C328D7">
        <w:rPr>
          <w:rFonts w:ascii="Arial" w:hAnsi="Arial" w:cs="Arial"/>
          <w:sz w:val="22"/>
          <w:szCs w:val="22"/>
        </w:rPr>
        <w:t>including copying, scanning, coding, electronic document storage, court book preparation</w:t>
      </w:r>
    </w:p>
    <w:p w:rsidR="00C328D7" w:rsidRPr="00C328D7" w:rsidRDefault="00C328D7" w:rsidP="00C328D7">
      <w:pPr>
        <w:pStyle w:val="ListParagraph"/>
        <w:numPr>
          <w:ilvl w:val="0"/>
          <w:numId w:val="8"/>
        </w:numPr>
        <w:tabs>
          <w:tab w:val="left" w:pos="567"/>
        </w:tabs>
        <w:spacing w:before="120" w:after="120"/>
        <w:ind w:left="567" w:hanging="567"/>
        <w:contextualSpacing w:val="0"/>
        <w:rPr>
          <w:rFonts w:ascii="Arial" w:hAnsi="Arial" w:cs="Arial"/>
          <w:b/>
          <w:sz w:val="22"/>
          <w:szCs w:val="22"/>
        </w:rPr>
      </w:pPr>
      <w:r w:rsidRPr="00C328D7">
        <w:rPr>
          <w:rFonts w:ascii="Arial" w:hAnsi="Arial" w:cs="Arial"/>
          <w:b/>
          <w:sz w:val="22"/>
          <w:szCs w:val="22"/>
        </w:rPr>
        <w:t xml:space="preserve">Automation services </w:t>
      </w:r>
      <w:r w:rsidRPr="00C328D7">
        <w:rPr>
          <w:rFonts w:ascii="Arial" w:hAnsi="Arial" w:cs="Arial"/>
          <w:sz w:val="22"/>
          <w:szCs w:val="22"/>
        </w:rPr>
        <w:t>including document automation, invoice processing</w:t>
      </w:r>
    </w:p>
    <w:p w:rsidR="00C328D7" w:rsidRPr="00C328D7" w:rsidRDefault="00C328D7" w:rsidP="00C328D7">
      <w:pPr>
        <w:pStyle w:val="ListParagraph"/>
        <w:numPr>
          <w:ilvl w:val="0"/>
          <w:numId w:val="8"/>
        </w:numPr>
        <w:tabs>
          <w:tab w:val="left" w:pos="567"/>
        </w:tabs>
        <w:spacing w:before="120" w:after="120"/>
        <w:ind w:left="567" w:hanging="567"/>
        <w:contextualSpacing w:val="0"/>
        <w:rPr>
          <w:rFonts w:ascii="Arial" w:hAnsi="Arial" w:cs="Arial"/>
          <w:b/>
          <w:sz w:val="22"/>
          <w:szCs w:val="22"/>
        </w:rPr>
      </w:pPr>
      <w:r w:rsidRPr="00C328D7">
        <w:rPr>
          <w:rFonts w:ascii="Arial" w:hAnsi="Arial" w:cs="Arial"/>
          <w:b/>
          <w:sz w:val="22"/>
          <w:szCs w:val="22"/>
        </w:rPr>
        <w:t xml:space="preserve">Digital forensics </w:t>
      </w:r>
      <w:r w:rsidRPr="00C328D7">
        <w:rPr>
          <w:rFonts w:ascii="Arial" w:hAnsi="Arial" w:cs="Arial"/>
          <w:sz w:val="22"/>
          <w:szCs w:val="22"/>
        </w:rPr>
        <w:t>in analysis of cyber, fraud, health, privacy or other incidents</w:t>
      </w:r>
    </w:p>
    <w:p w:rsidR="00C328D7" w:rsidRPr="00C328D7" w:rsidRDefault="00C328D7" w:rsidP="00C328D7">
      <w:pPr>
        <w:rPr>
          <w:rFonts w:ascii="Arial" w:hAnsi="Arial" w:cs="Arial"/>
        </w:rPr>
      </w:pPr>
    </w:p>
    <w:sectPr w:rsidR="00C328D7" w:rsidRPr="00C328D7" w:rsidSect="00C328D7">
      <w:headerReference w:type="default" r:id="rId7"/>
      <w:footerReference w:type="default" r:id="rId8"/>
      <w:pgSz w:w="11906" w:h="16838"/>
      <w:pgMar w:top="1440" w:right="1440" w:bottom="1440" w:left="1440"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8D7" w:rsidRDefault="00C328D7" w:rsidP="00C328D7">
      <w:pPr>
        <w:spacing w:after="0" w:line="240" w:lineRule="auto"/>
      </w:pPr>
      <w:r>
        <w:separator/>
      </w:r>
    </w:p>
  </w:endnote>
  <w:endnote w:type="continuationSeparator" w:id="0">
    <w:p w:rsidR="00C328D7" w:rsidRDefault="00C328D7" w:rsidP="00C32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823479"/>
      <w:docPartObj>
        <w:docPartGallery w:val="Page Numbers (Bottom of Page)"/>
        <w:docPartUnique/>
      </w:docPartObj>
    </w:sdtPr>
    <w:sdtContent>
      <w:sdt>
        <w:sdtPr>
          <w:id w:val="1728636285"/>
          <w:docPartObj>
            <w:docPartGallery w:val="Page Numbers (Top of Page)"/>
            <w:docPartUnique/>
          </w:docPartObj>
        </w:sdtPr>
        <w:sdtContent>
          <w:p w:rsidR="00C328D7" w:rsidRDefault="00C328D7" w:rsidP="00C328D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w:t>
            </w:r>
            <w:r>
              <w:rPr>
                <w:b/>
                <w:bCs/>
                <w:sz w:val="24"/>
                <w:szCs w:val="24"/>
              </w:rPr>
              <w:fldChar w:fldCharType="end"/>
            </w:r>
            <w:r>
              <w:t xml:space="preserve"> of </w:t>
            </w:r>
            <w:r>
              <w:rPr>
                <w:b/>
                <w:bCs/>
                <w:sz w:val="24"/>
                <w:szCs w:val="24"/>
              </w:rPr>
              <w:t>6</w:t>
            </w:r>
          </w:p>
        </w:sdtContent>
      </w:sdt>
    </w:sdtContent>
  </w:sdt>
  <w:p w:rsidR="00C328D7" w:rsidRDefault="00C328D7">
    <w:pPr>
      <w:pStyle w:val="Footer"/>
    </w:pPr>
    <w:r>
      <w:rPr>
        <w:sz w:val="18"/>
        <w:szCs w:val="18"/>
      </w:rPr>
      <w:t>NSW Government Legal Services Panel |</w:t>
    </w:r>
    <w:r>
      <w:rPr>
        <w:sz w:val="18"/>
        <w:szCs w:val="18"/>
      </w:rPr>
      <w:t xml:space="preserve">Explanation of Areas of Law </w:t>
    </w:r>
    <w:r>
      <w:rPr>
        <w:sz w:val="18"/>
        <w:szCs w:val="18"/>
      </w:rPr>
      <w:t>- 1 July 2021 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8D7" w:rsidRDefault="00C328D7" w:rsidP="00C328D7">
      <w:pPr>
        <w:spacing w:after="0" w:line="240" w:lineRule="auto"/>
      </w:pPr>
      <w:r>
        <w:separator/>
      </w:r>
    </w:p>
  </w:footnote>
  <w:footnote w:type="continuationSeparator" w:id="0">
    <w:p w:rsidR="00C328D7" w:rsidRDefault="00C328D7" w:rsidP="00C328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8D7" w:rsidRDefault="00C328D7" w:rsidP="00C328D7">
    <w:pPr>
      <w:pStyle w:val="Header"/>
      <w:jc w:val="right"/>
    </w:pPr>
    <w:r>
      <w:t xml:space="preserve">NSW Government Legal Services Panel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20463"/>
    <w:multiLevelType w:val="hybridMultilevel"/>
    <w:tmpl w:val="2884A872"/>
    <w:lvl w:ilvl="0" w:tplc="FFFFFFFF">
      <w:start w:val="1"/>
      <w:numFmt w:val="lowerLetter"/>
      <w:lvlText w:val="(%1)"/>
      <w:lvlJc w:val="left"/>
      <w:pPr>
        <w:ind w:left="360" w:hanging="360"/>
      </w:pPr>
      <w:rPr>
        <w:rFonts w:cs="Times New Roman"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035B9E"/>
    <w:multiLevelType w:val="hybridMultilevel"/>
    <w:tmpl w:val="2884A872"/>
    <w:lvl w:ilvl="0" w:tplc="FFFFFFFF">
      <w:start w:val="1"/>
      <w:numFmt w:val="lowerLetter"/>
      <w:lvlText w:val="(%1)"/>
      <w:lvlJc w:val="left"/>
      <w:pPr>
        <w:ind w:left="360" w:hanging="360"/>
      </w:pPr>
      <w:rPr>
        <w:rFonts w:cs="Times New Roman"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F906070"/>
    <w:multiLevelType w:val="hybridMultilevel"/>
    <w:tmpl w:val="2884A872"/>
    <w:lvl w:ilvl="0" w:tplc="FFFFFFFF">
      <w:start w:val="1"/>
      <w:numFmt w:val="lowerLetter"/>
      <w:lvlText w:val="(%1)"/>
      <w:lvlJc w:val="left"/>
      <w:pPr>
        <w:ind w:left="360" w:hanging="360"/>
      </w:pPr>
      <w:rPr>
        <w:rFonts w:cs="Times New Roman"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EC42EC4"/>
    <w:multiLevelType w:val="hybridMultilevel"/>
    <w:tmpl w:val="2D08F138"/>
    <w:lvl w:ilvl="0" w:tplc="FFFFFFFF">
      <w:start w:val="1"/>
      <w:numFmt w:val="lowerLetter"/>
      <w:lvlText w:val="(%1)"/>
      <w:lvlJc w:val="left"/>
      <w:pPr>
        <w:ind w:left="360" w:hanging="360"/>
      </w:pPr>
      <w:rPr>
        <w:rFonts w:cs="Times New Roman"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4835532B"/>
    <w:multiLevelType w:val="hybridMultilevel"/>
    <w:tmpl w:val="2D08F138"/>
    <w:lvl w:ilvl="0" w:tplc="FFFFFFFF">
      <w:start w:val="1"/>
      <w:numFmt w:val="lowerLetter"/>
      <w:lvlText w:val="(%1)"/>
      <w:lvlJc w:val="left"/>
      <w:pPr>
        <w:ind w:left="360" w:hanging="360"/>
      </w:pPr>
      <w:rPr>
        <w:rFonts w:cs="Times New Roman"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575A6D59"/>
    <w:multiLevelType w:val="hybridMultilevel"/>
    <w:tmpl w:val="2884A872"/>
    <w:lvl w:ilvl="0" w:tplc="FFFFFFFF">
      <w:start w:val="1"/>
      <w:numFmt w:val="lowerLetter"/>
      <w:lvlText w:val="(%1)"/>
      <w:lvlJc w:val="left"/>
      <w:pPr>
        <w:ind w:left="360" w:hanging="360"/>
      </w:pPr>
      <w:rPr>
        <w:rFonts w:cs="Times New Roman"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6EC0005"/>
    <w:multiLevelType w:val="hybridMultilevel"/>
    <w:tmpl w:val="2D08F138"/>
    <w:lvl w:ilvl="0" w:tplc="FFFFFFFF">
      <w:start w:val="1"/>
      <w:numFmt w:val="lowerLetter"/>
      <w:lvlText w:val="(%1)"/>
      <w:lvlJc w:val="left"/>
      <w:pPr>
        <w:ind w:left="360" w:hanging="360"/>
      </w:pPr>
      <w:rPr>
        <w:rFonts w:cs="Times New Roman"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770D10DD"/>
    <w:multiLevelType w:val="hybridMultilevel"/>
    <w:tmpl w:val="5A04CF64"/>
    <w:lvl w:ilvl="0" w:tplc="0C090001">
      <w:start w:val="1"/>
      <w:numFmt w:val="bullet"/>
      <w:lvlText w:val=""/>
      <w:lvlJc w:val="left"/>
      <w:pPr>
        <w:ind w:left="927" w:hanging="360"/>
      </w:pPr>
      <w:rPr>
        <w:rFonts w:ascii="Symbol" w:hAnsi="Symbol" w:hint="default"/>
        <w:b w:val="0"/>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4"/>
  </w:num>
  <w:num w:numId="2">
    <w:abstractNumId w:val="7"/>
  </w:num>
  <w:num w:numId="3">
    <w:abstractNumId w:val="6"/>
  </w:num>
  <w:num w:numId="4">
    <w:abstractNumId w:val="3"/>
  </w:num>
  <w:num w:numId="5">
    <w:abstractNumId w:val="1"/>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8D7"/>
    <w:rsid w:val="00655E79"/>
    <w:rsid w:val="00C328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888762-E20E-43D2-9555-1B2E819D1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3"/>
    <w:qFormat/>
    <w:rsid w:val="00C328D7"/>
    <w:pPr>
      <w:keepNext/>
      <w:keepLines/>
      <w:spacing w:before="200" w:after="0" w:line="240" w:lineRule="auto"/>
      <w:outlineLvl w:val="1"/>
    </w:pPr>
    <w:rPr>
      <w:rFonts w:ascii="Arial" w:eastAsia="Times New Roman" w:hAnsi="Arial" w:cs="Times New Roman"/>
      <w:b/>
      <w:bCs/>
      <w:sz w:val="24"/>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8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8D7"/>
  </w:style>
  <w:style w:type="paragraph" w:styleId="Footer">
    <w:name w:val="footer"/>
    <w:basedOn w:val="Normal"/>
    <w:link w:val="FooterChar"/>
    <w:uiPriority w:val="99"/>
    <w:unhideWhenUsed/>
    <w:rsid w:val="00C328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8D7"/>
  </w:style>
  <w:style w:type="character" w:customStyle="1" w:styleId="Heading2Char">
    <w:name w:val="Heading 2 Char"/>
    <w:basedOn w:val="DefaultParagraphFont"/>
    <w:uiPriority w:val="9"/>
    <w:semiHidden/>
    <w:rsid w:val="00C328D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C328D7"/>
    <w:pPr>
      <w:spacing w:after="0" w:line="240" w:lineRule="auto"/>
      <w:ind w:left="720"/>
      <w:contextualSpacing/>
    </w:pPr>
    <w:rPr>
      <w:rFonts w:ascii="Times New Roman" w:eastAsia="Times New Roman" w:hAnsi="Times New Roman" w:cs="Times New Roman"/>
      <w:sz w:val="24"/>
      <w:szCs w:val="24"/>
      <w:lang w:eastAsia="en-AU"/>
    </w:rPr>
  </w:style>
  <w:style w:type="character" w:customStyle="1" w:styleId="Heading2Char3">
    <w:name w:val="Heading 2 Char3"/>
    <w:link w:val="Heading2"/>
    <w:rsid w:val="00C328D7"/>
    <w:rPr>
      <w:rFonts w:ascii="Arial" w:eastAsia="Times New Roman" w:hAnsi="Arial" w:cs="Times New Roman"/>
      <w:b/>
      <w:bCs/>
      <w:sz w:val="24"/>
      <w:szCs w:val="26"/>
      <w:lang w:eastAsia="en-AU"/>
    </w:rPr>
  </w:style>
  <w:style w:type="character" w:customStyle="1" w:styleId="ListParagraphChar">
    <w:name w:val="List Paragraph Char"/>
    <w:link w:val="ListParagraph"/>
    <w:uiPriority w:val="34"/>
    <w:rsid w:val="00C328D7"/>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Transport for NSW</Company>
  <LinksUpToDate>false</LinksUpToDate>
  <CharactersWithSpaces>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Newton</dc:creator>
  <cp:keywords/>
  <dc:description/>
  <cp:lastModifiedBy>Sarah Newton</cp:lastModifiedBy>
  <cp:revision>1</cp:revision>
  <dcterms:created xsi:type="dcterms:W3CDTF">2021-06-28T09:58:00Z</dcterms:created>
  <dcterms:modified xsi:type="dcterms:W3CDTF">2021-06-28T10:16:00Z</dcterms:modified>
</cp:coreProperties>
</file>