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A668" w14:textId="77777777" w:rsidR="00C13326" w:rsidRDefault="00C13326" w:rsidP="00C13326">
      <w:pPr>
        <w:pStyle w:val="Style1"/>
      </w:pPr>
    </w:p>
    <w:p w14:paraId="78F32449" w14:textId="4C055CC3" w:rsidR="007C2E22" w:rsidRDefault="186B896E" w:rsidP="00C13326">
      <w:pPr>
        <w:pStyle w:val="Style1"/>
      </w:pPr>
      <w:r>
        <w:t xml:space="preserve">Date: </w:t>
      </w:r>
      <w:r w:rsidR="00940BDF">
        <w:t>October 2019</w:t>
      </w:r>
    </w:p>
    <w:p w14:paraId="703B5E0F" w14:textId="77777777" w:rsidR="0091732A" w:rsidRDefault="0091732A" w:rsidP="0091732A">
      <w:pPr>
        <w:pStyle w:val="Style1"/>
      </w:pPr>
    </w:p>
    <w:p w14:paraId="72760FD1" w14:textId="58B7F65E" w:rsidR="00F44325" w:rsidRDefault="00353905" w:rsidP="00CD0144">
      <w:pPr>
        <w:pStyle w:val="Heading1"/>
      </w:pPr>
      <w:r>
        <w:t xml:space="preserve">Procurement (Enforceable Procurement Provisions) Direction 2019  </w:t>
      </w:r>
    </w:p>
    <w:p w14:paraId="0CC32D3C" w14:textId="1D1F36DA" w:rsidR="00CD0144" w:rsidRDefault="00CD0144" w:rsidP="00CD0144"/>
    <w:p w14:paraId="70D66C35" w14:textId="3EDD8718" w:rsidR="00FD3602" w:rsidRDefault="00FD3602" w:rsidP="00FD3602">
      <w:r>
        <w:rPr>
          <w:noProof/>
        </w:rPr>
        <w:drawing>
          <wp:anchor distT="0" distB="0" distL="114300" distR="114300" simplePos="0" relativeHeight="251656192" behindDoc="0" locked="0" layoutInCell="1" allowOverlap="1" wp14:anchorId="092670E0" wp14:editId="79D059EB">
            <wp:simplePos x="0" y="0"/>
            <wp:positionH relativeFrom="margin">
              <wp:posOffset>0</wp:posOffset>
            </wp:positionH>
            <wp:positionV relativeFrom="paragraph">
              <wp:posOffset>131445</wp:posOffset>
            </wp:positionV>
            <wp:extent cx="581025" cy="581025"/>
            <wp:effectExtent l="0" t="0" r="9525" b="9525"/>
            <wp:wrapSquare wrapText="bothSides"/>
            <wp:docPr id="11" name="Graphic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Procurement (Enforceable Procurement Provisions) Direction 2019 (EPP Direction) requires agencies to conduct procurement activities above identified thresholds in a manner that allows even competition between international and domestic suppliers. </w:t>
      </w:r>
    </w:p>
    <w:p w14:paraId="1B484721" w14:textId="77777777" w:rsidR="008B379D" w:rsidRDefault="008B379D" w:rsidP="00FD3602"/>
    <w:p w14:paraId="6D021E18" w14:textId="77777777" w:rsidR="00FD3602" w:rsidRDefault="00FD3602" w:rsidP="00FD3602">
      <w:pPr>
        <w:ind w:left="720" w:firstLine="414"/>
        <w:rPr>
          <w:b/>
        </w:rPr>
      </w:pPr>
      <w:r>
        <w:t>Use this checklist to apply best practices in the Plan, Source, Manage approach.</w:t>
      </w:r>
    </w:p>
    <w:tbl>
      <w:tblPr>
        <w:tblStyle w:val="ListTable2-Accent3"/>
        <w:tblW w:w="10632" w:type="dxa"/>
        <w:tblInd w:w="0" w:type="dxa"/>
        <w:tblLook w:val="0480" w:firstRow="0" w:lastRow="0" w:firstColumn="1" w:lastColumn="0" w:noHBand="0" w:noVBand="1"/>
      </w:tblPr>
      <w:tblGrid>
        <w:gridCol w:w="846"/>
        <w:gridCol w:w="9786"/>
      </w:tblGrid>
      <w:tr w:rsidR="00FD3602" w14:paraId="569E00F8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05496DD7" w14:textId="77777777" w:rsidR="00FD3602" w:rsidRDefault="00FD3602">
            <w:pPr>
              <w:spacing w:before="120" w:after="120"/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6D0792F7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262626" w:themeColor="text1" w:themeTint="D9"/>
                <w:sz w:val="2"/>
                <w:szCs w:val="2"/>
              </w:rPr>
            </w:pPr>
          </w:p>
        </w:tc>
      </w:tr>
      <w:tr w:rsidR="00FD3602" w14:paraId="6782D730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06981206" w14:textId="77777777" w:rsidR="00FD3602" w:rsidRDefault="00FD3602">
            <w:pPr>
              <w:spacing w:before="120" w:after="120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12F82130" w14:textId="16B14D59" w:rsidR="00FD3602" w:rsidRDefault="00FD3602">
            <w:pPr>
              <w:spacing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2C4FB12" wp14:editId="0A2A5FFE">
                  <wp:simplePos x="0" y="0"/>
                  <wp:positionH relativeFrom="margin">
                    <wp:posOffset>-546735</wp:posOffset>
                  </wp:positionH>
                  <wp:positionV relativeFrom="paragraph">
                    <wp:posOffset>81280</wp:posOffset>
                  </wp:positionV>
                  <wp:extent cx="1151890" cy="10731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96"/>
                <w:szCs w:val="96"/>
              </w:rPr>
              <w:t xml:space="preserve">    </w:t>
            </w:r>
          </w:p>
          <w:p w14:paraId="541DD9F8" w14:textId="77777777" w:rsidR="00FD3602" w:rsidRPr="008B379D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9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96"/>
                <w:szCs w:val="96"/>
              </w:rPr>
              <w:t xml:space="preserve"> </w:t>
            </w:r>
            <w:r w:rsidRPr="008B379D">
              <w:rPr>
                <w:color w:val="003399"/>
                <w:sz w:val="96"/>
                <w:szCs w:val="96"/>
              </w:rPr>
              <w:t>Plan</w:t>
            </w:r>
          </w:p>
          <w:p w14:paraId="183FED64" w14:textId="77777777" w:rsidR="00FD3602" w:rsidRDefault="00FD3602">
            <w:pPr>
              <w:spacing w:before="120" w:after="12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C73B1" w14:paraId="43650391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2EAD013A" w14:textId="69C45693" w:rsidR="00FC73B1" w:rsidRDefault="00FC73B1">
            <w:pPr>
              <w:spacing w:before="120" w:after="120"/>
              <w:ind w:left="113" w:right="113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2B7EB14A" w14:textId="77777777" w:rsidR="00FC73B1" w:rsidRDefault="00FC73B1" w:rsidP="00FC73B1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the EPP Direction apply to your agency? </w:t>
            </w:r>
          </w:p>
          <w:p w14:paraId="3E14EA15" w14:textId="241265DB" w:rsidR="00FC73B1" w:rsidRDefault="00FC73B1" w:rsidP="00FC73B1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Covered agencies are listed in </w:t>
            </w:r>
            <w:hyperlink r:id="rId14" w:history="1">
              <w:r w:rsidRPr="00F32707">
                <w:rPr>
                  <w:rStyle w:val="Hyperlink"/>
                </w:rPr>
                <w:t>Schedule 1 of the EPP Direction</w:t>
              </w:r>
            </w:hyperlink>
            <w:r>
              <w:t>.</w:t>
            </w:r>
          </w:p>
        </w:tc>
      </w:tr>
      <w:tr w:rsidR="00FD3602" w14:paraId="539D51C0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21863FAE" w14:textId="77777777" w:rsidR="00FD3602" w:rsidRDefault="00FD3602">
            <w:pPr>
              <w:spacing w:before="120" w:after="120"/>
              <w:ind w:left="113" w:right="113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3645B7A0" w14:textId="77777777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the actual or estimated value. Does it exceed the EPP Direction thresholds?</w:t>
            </w:r>
          </w:p>
          <w:p w14:paraId="2BA23E8E" w14:textId="0AD24DD8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Construction - $9.24</w:t>
            </w:r>
            <w:r w:rsidR="000534AF">
              <w:t xml:space="preserve">7 </w:t>
            </w:r>
            <w:r>
              <w:t>M</w:t>
            </w:r>
            <w:r w:rsidR="000534AF">
              <w:t>illion (ex</w:t>
            </w:r>
            <w:r w:rsidR="00CF1768">
              <w:t>cl. GST)</w:t>
            </w:r>
          </w:p>
          <w:p w14:paraId="0A46A7BA" w14:textId="49C43A00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Goods &amp; Services - $657</w:t>
            </w:r>
            <w:r w:rsidR="00CF1768">
              <w:t>,000 (excl. GST)</w:t>
            </w:r>
          </w:p>
        </w:tc>
      </w:tr>
      <w:tr w:rsidR="00FD3602" w14:paraId="3DE4FECD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55562204" w14:textId="77777777" w:rsidR="00FD3602" w:rsidRDefault="00FD3602">
            <w:pPr>
              <w:spacing w:before="120" w:after="120"/>
              <w:ind w:left="113" w:right="113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6463E98A" w14:textId="77777777" w:rsidR="00FD3602" w:rsidRDefault="00FD3602">
            <w:pPr>
              <w:spacing w:before="120" w:after="120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calculating estimated value have you included:</w:t>
            </w:r>
          </w:p>
          <w:p w14:paraId="68033729" w14:textId="1EA48676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t</w:t>
            </w:r>
            <w:r>
              <w:t xml:space="preserve">he </w:t>
            </w:r>
            <w:r w:rsidR="00CF1768">
              <w:t xml:space="preserve">estimated </w:t>
            </w:r>
            <w:r>
              <w:t>value of the goods or services</w:t>
            </w:r>
          </w:p>
          <w:p w14:paraId="5E680C8A" w14:textId="3D284EF9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a</w:t>
            </w:r>
            <w:r>
              <w:t>ll re</w:t>
            </w:r>
            <w:r w:rsidR="00A3613F">
              <w:t>m</w:t>
            </w:r>
            <w:r w:rsidR="00A2513C">
              <w:t>un</w:t>
            </w:r>
            <w:r>
              <w:t>eration including fees, premiums, commissions, interest and any other revenue streams</w:t>
            </w:r>
          </w:p>
          <w:p w14:paraId="58B5F282" w14:textId="0A065D52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a</w:t>
            </w:r>
            <w:r>
              <w:t>ll options, extensions, renewals or any other mechanisms</w:t>
            </w:r>
          </w:p>
          <w:p w14:paraId="5725400A" w14:textId="1CBD17C0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a</w:t>
            </w:r>
            <w:r>
              <w:t>ll proposed contracts where the procurement is conducted in multiple parts</w:t>
            </w:r>
          </w:p>
          <w:p w14:paraId="4B169F2B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Where the maximum value cannot be determined, it is considered to exceed the thresholds and the EPP Direction applies.</w:t>
            </w:r>
          </w:p>
        </w:tc>
      </w:tr>
      <w:tr w:rsidR="00FD3602" w14:paraId="0E340D14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0FC060CE" w14:textId="77777777" w:rsidR="00FD3602" w:rsidRDefault="00FD3602">
            <w:pPr>
              <w:spacing w:before="120" w:after="120"/>
              <w:ind w:left="113" w:right="113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7664A5A8" w14:textId="16228E26" w:rsidR="00FD3602" w:rsidRDefault="00FD3602" w:rsidP="004B2323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procurement exempt</w:t>
            </w:r>
            <w:r w:rsidR="004B2323">
              <w:t xml:space="preserve">ed under </w:t>
            </w:r>
            <w:r>
              <w:t>Schedule 2 of the EPP Direction</w:t>
            </w:r>
            <w:r w:rsidR="004B2323">
              <w:t>?</w:t>
            </w:r>
          </w:p>
        </w:tc>
      </w:tr>
      <w:tr w:rsidR="00FD3602" w14:paraId="7F9B5884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7DE6733B" w14:textId="77777777" w:rsidR="00FD3602" w:rsidRDefault="00FD3602">
            <w:pPr>
              <w:spacing w:before="120" w:after="120"/>
              <w:ind w:left="113" w:right="113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0CDF9CC4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 the appropriate market approach:</w:t>
            </w:r>
          </w:p>
          <w:p w14:paraId="4F48DA54" w14:textId="1C39E800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Procurement panel (</w:t>
            </w:r>
            <w:r w:rsidR="0075742D">
              <w:t>e.g. Whole</w:t>
            </w:r>
            <w:r w:rsidR="005D7165">
              <w:t xml:space="preserve"> </w:t>
            </w:r>
            <w:r w:rsidR="00D46FF9">
              <w:t xml:space="preserve">of Government </w:t>
            </w:r>
            <w:r>
              <w:t>Contract</w:t>
            </w:r>
            <w:r w:rsidR="00367282">
              <w:t xml:space="preserve"> or panel created from a procurement list</w:t>
            </w:r>
            <w:r>
              <w:t>)</w:t>
            </w:r>
          </w:p>
          <w:p w14:paraId="38ECABA6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Existing procurement list (Prequalification scheme)</w:t>
            </w:r>
          </w:p>
          <w:p w14:paraId="4CAA24CD" w14:textId="19E5F235" w:rsidR="008B379D" w:rsidRDefault="00FD3602" w:rsidP="008B379D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8B379D">
              <w:t>Open market approach</w:t>
            </w:r>
          </w:p>
          <w:p w14:paraId="0E7D7FC5" w14:textId="71F48549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Limited tendering</w:t>
            </w:r>
          </w:p>
        </w:tc>
      </w:tr>
      <w:tr w:rsidR="00FD3602" w14:paraId="1E8ECF34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059FC9C0" w14:textId="77777777" w:rsidR="00FD3602" w:rsidRDefault="00FD3602">
            <w:pPr>
              <w:spacing w:before="120" w:after="120"/>
              <w:ind w:left="113" w:right="113"/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75325F5E" w14:textId="77777777" w:rsidR="009870E9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Determine the market timeframes. </w:t>
            </w:r>
          </w:p>
          <w:p w14:paraId="5E0B7FB9" w14:textId="37F75BE3" w:rsidR="00FD3602" w:rsidRDefault="00207AEA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Agencies must provide reasonable time for suppliers to prepare and lodge submissions. </w:t>
            </w:r>
            <w:r w:rsidR="00FD3602">
              <w:t xml:space="preserve">The minimum time frame is 25 </w:t>
            </w:r>
            <w:r w:rsidR="009265BB">
              <w:t xml:space="preserve">calendar </w:t>
            </w:r>
            <w:r w:rsidR="00FD3602">
              <w:t>days unless:</w:t>
            </w:r>
          </w:p>
          <w:p w14:paraId="7A2FC627" w14:textId="0E1E8C72" w:rsidR="00FD3602" w:rsidRDefault="00FD3602">
            <w:pPr>
              <w:spacing w:before="120" w:after="120"/>
              <w:ind w:left="458" w:right="113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t</w:t>
            </w:r>
            <w:r>
              <w:t>he procurement has been published in the Agency Procurement Plan for more than 40 but less than 365 days</w:t>
            </w:r>
          </w:p>
          <w:p w14:paraId="15D1C03B" w14:textId="76ACC025" w:rsidR="00FD3602" w:rsidRDefault="00FD3602">
            <w:pPr>
              <w:spacing w:before="120" w:after="120"/>
              <w:ind w:left="458" w:right="113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a</w:t>
            </w:r>
            <w:r>
              <w:t>n open market approach was undertaken within the last 365 days, where it was stated that the procurement would be subject to further market approaches</w:t>
            </w:r>
          </w:p>
          <w:p w14:paraId="2AC846DD" w14:textId="28D2AB85" w:rsidR="00FD3602" w:rsidRDefault="00FD3602">
            <w:pPr>
              <w:spacing w:before="120" w:after="120"/>
              <w:ind w:left="458" w:right="113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t</w:t>
            </w:r>
            <w:r>
              <w:t>he goods and services are available in a commercial market</w:t>
            </w:r>
          </w:p>
          <w:p w14:paraId="6053654C" w14:textId="7CD46C66" w:rsidR="00FD3602" w:rsidRDefault="00FD3602">
            <w:pPr>
              <w:spacing w:before="120" w:after="120"/>
              <w:ind w:left="458" w:right="113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t</w:t>
            </w:r>
            <w:r>
              <w:t>he goods and services are required urgently</w:t>
            </w:r>
          </w:p>
          <w:p w14:paraId="7A620CB7" w14:textId="77777777" w:rsidR="00FD3602" w:rsidRDefault="00FD3602">
            <w:pPr>
              <w:spacing w:before="120" w:after="120"/>
              <w:ind w:left="3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The minimum time in the market cannot be less than 10 days.</w:t>
            </w:r>
          </w:p>
        </w:tc>
      </w:tr>
      <w:tr w:rsidR="008B379D" w14:paraId="3F76F1C0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5EFF676B" w14:textId="74966865" w:rsidR="008B379D" w:rsidRDefault="008B379D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337E6CCD" w14:textId="77777777" w:rsidR="008B379D" w:rsidRDefault="008B379D" w:rsidP="008B379D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a Procurement Panel. </w:t>
            </w:r>
          </w:p>
          <w:p w14:paraId="072F5FB2" w14:textId="7DCC19B8" w:rsidR="008B379D" w:rsidRDefault="008B379D" w:rsidP="008B379D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Panels established prior to the implementation of the EPP Direction are exempt from its requirements</w:t>
            </w:r>
            <w:r w:rsidR="00352BF8">
              <w:t xml:space="preserve"> until they expire.</w:t>
            </w:r>
            <w:r>
              <w:rPr>
                <w:color w:val="FF0000"/>
              </w:rPr>
              <w:t xml:space="preserve"> </w:t>
            </w:r>
            <w:r>
              <w:t>They may be used subject to compliance with agency procurement policy.</w:t>
            </w:r>
          </w:p>
        </w:tc>
      </w:tr>
      <w:tr w:rsidR="008B379D" w14:paraId="400914E0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0FE7A77E" w14:textId="2C3767C4" w:rsidR="008B379D" w:rsidRDefault="008B379D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25FE32CB" w14:textId="5E0D3C02" w:rsidR="008B379D" w:rsidRDefault="008B379D" w:rsidP="008B379D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an existing Procurement List. </w:t>
            </w:r>
          </w:p>
          <w:p w14:paraId="3CC40154" w14:textId="6D618AF9" w:rsidR="008B379D" w:rsidRDefault="008B379D" w:rsidP="008B379D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Lists established prior to the implementation of the EPP Direction are exempt from its requirements for 12 months</w:t>
            </w:r>
            <w:r w:rsidR="00600F54">
              <w:t xml:space="preserve"> from the introduction of the EPP Direction</w:t>
            </w:r>
            <w:r>
              <w:t>.</w:t>
            </w:r>
            <w:r>
              <w:rPr>
                <w:color w:val="FF0000"/>
              </w:rPr>
              <w:t xml:space="preserve"> </w:t>
            </w:r>
            <w:r>
              <w:t>They may be used subject to compliance with agency procurement policy.</w:t>
            </w:r>
          </w:p>
          <w:p w14:paraId="23EF677F" w14:textId="77777777" w:rsidR="008B379D" w:rsidRDefault="008B379D" w:rsidP="008B379D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must: </w:t>
            </w:r>
          </w:p>
          <w:p w14:paraId="3577C3A2" w14:textId="77777777" w:rsidR="008B379D" w:rsidRDefault="008B379D" w:rsidP="008B379D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define the criteria used to evaluate submissions</w:t>
            </w:r>
          </w:p>
          <w:p w14:paraId="4E98E64F" w14:textId="77777777" w:rsidR="008B379D" w:rsidRDefault="008B379D" w:rsidP="008B379D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 a full description of the required good or services </w:t>
            </w:r>
          </w:p>
          <w:p w14:paraId="5AC830FA" w14:textId="77777777" w:rsidR="008B379D" w:rsidRDefault="008B379D" w:rsidP="008B379D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identify any certification requirements </w:t>
            </w:r>
          </w:p>
          <w:p w14:paraId="4D0BBD36" w14:textId="77777777" w:rsidR="008B379D" w:rsidRDefault="008B379D" w:rsidP="008B379D">
            <w:pPr>
              <w:spacing w:before="120" w:after="120"/>
              <w:ind w:left="458" w:right="113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 the conditions for participation, terms and conditions and list any information or documents required from the supplier </w:t>
            </w:r>
          </w:p>
          <w:p w14:paraId="5666AB04" w14:textId="77777777" w:rsidR="008B379D" w:rsidRDefault="008B379D" w:rsidP="008B379D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 the open and close dates </w:t>
            </w:r>
          </w:p>
          <w:p w14:paraId="4511341D" w14:textId="3BBB8F98" w:rsidR="008B379D" w:rsidRDefault="008B379D" w:rsidP="008B379D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 the delivery and contract duration dates  </w:t>
            </w:r>
          </w:p>
        </w:tc>
      </w:tr>
      <w:tr w:rsidR="00FD3602" w14:paraId="02879B33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67AFC824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  <w:p w14:paraId="5D9E0D81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1378F471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22466014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00E0AE9E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4697A496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4291E962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72B32034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5CE74F4B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30D9D95F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2ECC6C18" w14:textId="77777777" w:rsidR="00AD6F84" w:rsidRDefault="00AD6F84">
            <w:pPr>
              <w:spacing w:before="120" w:after="120"/>
              <w:ind w:left="113" w:right="113"/>
              <w:jc w:val="center"/>
            </w:pPr>
          </w:p>
          <w:p w14:paraId="57F37DD4" w14:textId="77777777" w:rsidR="00AD6F84" w:rsidRDefault="00AD6F84">
            <w:pPr>
              <w:spacing w:before="120" w:after="120"/>
              <w:ind w:left="113" w:right="113"/>
              <w:jc w:val="center"/>
            </w:pPr>
          </w:p>
          <w:p w14:paraId="3074E548" w14:textId="7B647543" w:rsidR="00FD3602" w:rsidRDefault="00FD3602">
            <w:pPr>
              <w:spacing w:before="120" w:after="120"/>
              <w:ind w:left="113" w:right="113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367A5EDD" w14:textId="77777777" w:rsidR="008B379D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Using an Open Market approach. </w:t>
            </w:r>
          </w:p>
          <w:p w14:paraId="0F8CD7D9" w14:textId="67796090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drafted a notice </w:t>
            </w:r>
            <w:proofErr w:type="gramStart"/>
            <w:r>
              <w:t>that:</w:t>
            </w:r>
            <w:proofErr w:type="gramEnd"/>
            <w:r>
              <w:t xml:space="preserve"> </w:t>
            </w:r>
          </w:p>
          <w:p w14:paraId="29414765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an invitation for suppliers to respond</w:t>
            </w:r>
          </w:p>
          <w:p w14:paraId="485CC3EF" w14:textId="064B3B43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agency contact details,</w:t>
            </w:r>
            <w:r w:rsidR="008A4B05">
              <w:t xml:space="preserve"> for enquiries</w:t>
            </w:r>
          </w:p>
          <w:p w14:paraId="29D5844A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a full description of the required good or services</w:t>
            </w:r>
          </w:p>
          <w:p w14:paraId="7F40C3E6" w14:textId="61FA3665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the procurement process being used </w:t>
            </w:r>
            <w:r w:rsidRPr="0099002A">
              <w:rPr>
                <w:color w:val="auto"/>
              </w:rPr>
              <w:t>(</w:t>
            </w:r>
            <w:r w:rsidR="0099002A">
              <w:rPr>
                <w:color w:val="auto"/>
              </w:rPr>
              <w:t>m</w:t>
            </w:r>
            <w:r w:rsidR="0099002A" w:rsidRPr="0099002A">
              <w:rPr>
                <w:color w:val="auto"/>
              </w:rPr>
              <w:t>ulti</w:t>
            </w:r>
            <w:r w:rsidR="0099002A">
              <w:rPr>
                <w:color w:val="auto"/>
              </w:rPr>
              <w:t>-</w:t>
            </w:r>
            <w:r w:rsidR="0099002A" w:rsidRPr="0099002A">
              <w:rPr>
                <w:color w:val="auto"/>
              </w:rPr>
              <w:t>stage</w:t>
            </w:r>
            <w:r w:rsidR="0099002A">
              <w:rPr>
                <w:color w:val="auto"/>
              </w:rPr>
              <w:t>, o</w:t>
            </w:r>
            <w:r w:rsidR="0099002A" w:rsidRPr="0099002A">
              <w:rPr>
                <w:color w:val="auto"/>
              </w:rPr>
              <w:t>pen etc</w:t>
            </w:r>
            <w:r w:rsidR="0099002A">
              <w:rPr>
                <w:color w:val="auto"/>
              </w:rPr>
              <w:t>)</w:t>
            </w:r>
          </w:p>
          <w:p w14:paraId="72A85785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the conditions for participation</w:t>
            </w:r>
          </w:p>
          <w:p w14:paraId="3F328B05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the open and close dates  </w:t>
            </w:r>
          </w:p>
          <w:p w14:paraId="110C027B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the delivery and contract duration dates  </w:t>
            </w:r>
          </w:p>
          <w:p w14:paraId="14C7DCFD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the statement ‘This procurement complies to the EPP Direction.’  </w:t>
            </w:r>
          </w:p>
          <w:p w14:paraId="52758125" w14:textId="03C76CD6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i</w:t>
            </w:r>
            <w:r>
              <w:t xml:space="preserve">ncludes a statement that the agency intends to conduct negotiations  </w:t>
            </w:r>
          </w:p>
          <w:p w14:paraId="1CB2333D" w14:textId="77777777" w:rsidR="00AD6F84" w:rsidRDefault="00AD6F84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E83ADE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using a multi stage approach:</w:t>
            </w:r>
          </w:p>
          <w:p w14:paraId="682702A1" w14:textId="77777777" w:rsidR="00FD3602" w:rsidRDefault="00FD3602">
            <w:pPr>
              <w:spacing w:before="120" w:after="120"/>
              <w:ind w:left="458" w:right="113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a statement that the agency intends to invite further submissions from a limited number of suppliers who lodge an initial submission   </w:t>
            </w:r>
          </w:p>
          <w:p w14:paraId="3B9CCC3B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a justification for limiting the number of further submissions</w:t>
            </w:r>
          </w:p>
          <w:p w14:paraId="0953CE66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includes the criteria for selecting those limited suppliers  </w:t>
            </w:r>
          </w:p>
          <w:p w14:paraId="6F21E629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The notice must be published through NSW eTendering using the proposed or loading RFT function.</w:t>
            </w:r>
          </w:p>
        </w:tc>
      </w:tr>
      <w:tr w:rsidR="00FD3602" w14:paraId="39A2AAD4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3E4C57F9" w14:textId="77777777" w:rsidR="00FD3602" w:rsidRDefault="00FD3602">
            <w:pPr>
              <w:spacing w:before="120" w:after="120"/>
              <w:ind w:left="113" w:right="113"/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11D7AFA5" w14:textId="0CD13843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Limited Tendering</w:t>
            </w:r>
            <w:r w:rsidR="00FE6032">
              <w:t>.</w:t>
            </w:r>
            <w:r>
              <w:t xml:space="preserve"> </w:t>
            </w:r>
          </w:p>
          <w:p w14:paraId="1A7A0BA9" w14:textId="082C1710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Agencies may only use limited tendering in the strictest of circumstances</w:t>
            </w:r>
            <w:r w:rsidR="00AD6F84">
              <w:t xml:space="preserve">. Please refer to the EPP Direction </w:t>
            </w:r>
            <w:r w:rsidR="00AD6F84" w:rsidRPr="0023232B">
              <w:rPr>
                <w:color w:val="auto"/>
              </w:rPr>
              <w:t xml:space="preserve">(clause </w:t>
            </w:r>
            <w:r w:rsidR="0023232B" w:rsidRPr="0023232B">
              <w:rPr>
                <w:color w:val="auto"/>
              </w:rPr>
              <w:t>1</w:t>
            </w:r>
            <w:r w:rsidR="00CC70B2">
              <w:rPr>
                <w:color w:val="auto"/>
              </w:rPr>
              <w:t>5</w:t>
            </w:r>
            <w:r w:rsidR="0023232B" w:rsidRPr="0023232B">
              <w:rPr>
                <w:color w:val="auto"/>
              </w:rPr>
              <w:t>)</w:t>
            </w:r>
            <w:r w:rsidR="00AD6F84">
              <w:t xml:space="preserve"> for detailed information. Generally, limited tendering may only be used: </w:t>
            </w:r>
            <w:r>
              <w:t xml:space="preserve">  </w:t>
            </w:r>
          </w:p>
          <w:p w14:paraId="571E0725" w14:textId="134D546B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  <w:r w:rsidR="009870E9">
              <w:t>i</w:t>
            </w:r>
            <w:r>
              <w:t>n response to an open approach to market</w:t>
            </w:r>
            <w:r w:rsidR="00101135">
              <w:t xml:space="preserve"> where</w:t>
            </w:r>
            <w:r>
              <w:t>:</w:t>
            </w:r>
          </w:p>
          <w:p w14:paraId="3604EB7C" w14:textId="77777777" w:rsidR="00FD3602" w:rsidRDefault="00FD3602" w:rsidP="00FD3602">
            <w:pPr>
              <w:pStyle w:val="ListParagraph"/>
              <w:numPr>
                <w:ilvl w:val="0"/>
                <w:numId w:val="45"/>
              </w:numPr>
              <w:spacing w:before="120" w:after="120"/>
              <w:ind w:right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submissions were received; or</w:t>
            </w:r>
          </w:p>
          <w:p w14:paraId="75CAD41A" w14:textId="77777777" w:rsidR="00FD3602" w:rsidRDefault="00FD3602" w:rsidP="00FD3602">
            <w:pPr>
              <w:pStyle w:val="ListParagraph"/>
              <w:numPr>
                <w:ilvl w:val="0"/>
                <w:numId w:val="45"/>
              </w:numPr>
              <w:spacing w:before="120" w:after="120"/>
              <w:ind w:right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suppliers satisfied the conditions for participation; or</w:t>
            </w:r>
          </w:p>
          <w:p w14:paraId="0137E468" w14:textId="2D241AB0" w:rsidR="00FD3602" w:rsidRDefault="00FD3602" w:rsidP="00FD3602">
            <w:pPr>
              <w:pStyle w:val="ListParagraph"/>
              <w:numPr>
                <w:ilvl w:val="0"/>
                <w:numId w:val="45"/>
              </w:numPr>
              <w:spacing w:before="120" w:after="120"/>
              <w:ind w:right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submission provides value </w:t>
            </w:r>
            <w:r w:rsidR="0099002A">
              <w:t>fo</w:t>
            </w:r>
            <w:r>
              <w:t>r</w:t>
            </w:r>
            <w:r w:rsidR="0099002A">
              <w:t xml:space="preserve"> money</w:t>
            </w:r>
            <w:r>
              <w:t>; or</w:t>
            </w:r>
          </w:p>
          <w:p w14:paraId="5842201A" w14:textId="60662D10" w:rsidR="00FD3602" w:rsidRDefault="00FD3602" w:rsidP="00FD3602">
            <w:pPr>
              <w:pStyle w:val="ListParagraph"/>
              <w:numPr>
                <w:ilvl w:val="0"/>
                <w:numId w:val="45"/>
              </w:numPr>
              <w:spacing w:before="120" w:after="120"/>
              <w:ind w:right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agency </w:t>
            </w:r>
            <w:r w:rsidR="00AD6F84">
              <w:t xml:space="preserve">does not award a contract </w:t>
            </w:r>
            <w:r>
              <w:t>(clause 22); or</w:t>
            </w:r>
          </w:p>
          <w:p w14:paraId="7BD679BB" w14:textId="446FDF81" w:rsidR="00FD3602" w:rsidRDefault="00FD3602" w:rsidP="00FD3602">
            <w:pPr>
              <w:pStyle w:val="ListParagraph"/>
              <w:numPr>
                <w:ilvl w:val="0"/>
                <w:numId w:val="45"/>
              </w:numPr>
              <w:spacing w:before="120" w:after="120"/>
              <w:ind w:right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agency reasonably believes collu</w:t>
            </w:r>
            <w:r w:rsidR="00AD6F84">
              <w:t>sion has occurred</w:t>
            </w:r>
            <w:r>
              <w:t>; and</w:t>
            </w:r>
          </w:p>
          <w:p w14:paraId="6E090300" w14:textId="77777777" w:rsidR="00FD3602" w:rsidRDefault="00FD3602" w:rsidP="00FD3602">
            <w:pPr>
              <w:pStyle w:val="ListParagraph"/>
              <w:numPr>
                <w:ilvl w:val="0"/>
                <w:numId w:val="45"/>
              </w:numPr>
              <w:spacing w:before="120" w:after="120"/>
              <w:ind w:right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agency has not substantially modified the requirements of the procurement.</w:t>
            </w:r>
          </w:p>
          <w:p w14:paraId="2FFB683C" w14:textId="2D64AAD9" w:rsidR="009870E9" w:rsidRDefault="009870E9" w:rsidP="009870E9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 cases of </w:t>
            </w:r>
            <w:r w:rsidR="00E731C3">
              <w:t xml:space="preserve">genuine and justified </w:t>
            </w:r>
            <w:r>
              <w:t xml:space="preserve">extreme urgency  </w:t>
            </w:r>
          </w:p>
          <w:p w14:paraId="5ADA89B8" w14:textId="579448FE" w:rsidR="009870E9" w:rsidRDefault="009870E9" w:rsidP="009870E9">
            <w:pPr>
              <w:spacing w:before="120" w:after="120"/>
              <w:ind w:left="467" w:right="113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where </w:t>
            </w:r>
            <w:r w:rsidRPr="00101135">
              <w:t xml:space="preserve">technical reasons </w:t>
            </w:r>
            <w:r w:rsidRPr="004B4C8D">
              <w:t>such as requirements of interchangeability or interoperability with existing equipment</w:t>
            </w:r>
            <w:r>
              <w:t xml:space="preserve"> demand or, </w:t>
            </w:r>
            <w:r w:rsidRPr="00101135">
              <w:t>where a change of supplier would incur significant inconvenience or substantial duplication of costs for the procuring government agency</w:t>
            </w:r>
          </w:p>
          <w:p w14:paraId="1C170189" w14:textId="48607EFB" w:rsidR="0099002A" w:rsidRPr="004B4C8D" w:rsidRDefault="009870E9" w:rsidP="009870E9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other circumstances as outlined in the EPP Direction </w:t>
            </w:r>
          </w:p>
        </w:tc>
      </w:tr>
    </w:tbl>
    <w:p w14:paraId="30805A7D" w14:textId="77777777" w:rsidR="00FD3602" w:rsidRDefault="00FD3602" w:rsidP="00FD3602">
      <w:pPr>
        <w:rPr>
          <w:rFonts w:asciiTheme="minorHAnsi" w:hAnsiTheme="minorHAnsi" w:cstheme="minorBidi"/>
          <w:sz w:val="22"/>
          <w:szCs w:val="22"/>
        </w:rPr>
      </w:pPr>
    </w:p>
    <w:p w14:paraId="471C2E39" w14:textId="77777777" w:rsidR="00FD3602" w:rsidRDefault="00FD3602" w:rsidP="00FD3602">
      <w:r>
        <w:rPr>
          <w:b/>
          <w:bCs/>
        </w:rPr>
        <w:br w:type="page"/>
      </w:r>
    </w:p>
    <w:tbl>
      <w:tblPr>
        <w:tblStyle w:val="ListTable2-Accent3"/>
        <w:tblW w:w="10632" w:type="dxa"/>
        <w:tblInd w:w="0" w:type="dxa"/>
        <w:tblLook w:val="0480" w:firstRow="0" w:lastRow="0" w:firstColumn="1" w:lastColumn="0" w:noHBand="0" w:noVBand="1"/>
      </w:tblPr>
      <w:tblGrid>
        <w:gridCol w:w="846"/>
        <w:gridCol w:w="9786"/>
      </w:tblGrid>
      <w:tr w:rsidR="00FD3602" w14:paraId="3D93FC20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1F261F1E" w14:textId="77777777" w:rsidR="00FD3602" w:rsidRDefault="00FD3602">
            <w:pPr>
              <w:spacing w:before="120" w:after="120"/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148496A5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262626" w:themeColor="text1" w:themeTint="D9"/>
                <w:sz w:val="2"/>
                <w:szCs w:val="2"/>
              </w:rPr>
            </w:pPr>
          </w:p>
        </w:tc>
      </w:tr>
      <w:tr w:rsidR="00FD3602" w14:paraId="3EFDC333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713C3CB3" w14:textId="43D97C4C" w:rsidR="00FD3602" w:rsidRDefault="00FD3602">
            <w:pPr>
              <w:spacing w:after="120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9E0B621" wp14:editId="1E8A89E9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71120</wp:posOffset>
                  </wp:positionV>
                  <wp:extent cx="1151890" cy="10731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2EF1A081" w14:textId="77777777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96"/>
                <w:szCs w:val="96"/>
              </w:rPr>
              <w:t xml:space="preserve">    </w:t>
            </w:r>
          </w:p>
          <w:p w14:paraId="06A749E9" w14:textId="77777777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96"/>
                <w:szCs w:val="96"/>
              </w:rPr>
              <w:t xml:space="preserve"> Source</w:t>
            </w:r>
          </w:p>
          <w:p w14:paraId="5ACB2957" w14:textId="77777777" w:rsidR="00FD3602" w:rsidRDefault="00FD3602">
            <w:pPr>
              <w:spacing w:before="120" w:after="12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D3602" w14:paraId="506FEDF0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28365824" w14:textId="77777777" w:rsidR="00FD3602" w:rsidRDefault="00FD3602">
            <w:pPr>
              <w:spacing w:before="120" w:after="120"/>
              <w:ind w:left="113" w:right="113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47E02409" w14:textId="51682A58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NSW eTendering</w:t>
            </w:r>
            <w:r w:rsidR="00FE6032">
              <w:t>.</w:t>
            </w:r>
          </w:p>
          <w:p w14:paraId="7CD347A1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The use of NSW eTendering is mandatory for the publication of Open market approaches and Procurement List invitations.</w:t>
            </w:r>
            <w:r>
              <w:rPr>
                <w:b/>
              </w:rPr>
              <w:t xml:space="preserve"> </w:t>
            </w:r>
          </w:p>
        </w:tc>
      </w:tr>
      <w:tr w:rsidR="00FD3602" w14:paraId="2BF9D26F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7107F32A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  <w:p w14:paraId="59089070" w14:textId="77777777" w:rsidR="00FD3602" w:rsidRDefault="00FD3602">
            <w:pPr>
              <w:spacing w:before="120" w:after="120"/>
              <w:ind w:left="113" w:right="113"/>
              <w:jc w:val="center"/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3899EE08" w14:textId="242D612A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NSW eQuote</w:t>
            </w:r>
            <w:r w:rsidR="00FE6032">
              <w:t>.</w:t>
            </w:r>
            <w:r>
              <w:t xml:space="preserve"> </w:t>
            </w:r>
          </w:p>
          <w:p w14:paraId="044D7E7A" w14:textId="77777777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use of NSW eQuote is available to access suppliers on whole-of-government procurement lists.</w:t>
            </w:r>
          </w:p>
        </w:tc>
      </w:tr>
      <w:tr w:rsidR="00FD3602" w14:paraId="5BEB9EA0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2A0AA413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  <w:p w14:paraId="754525C5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78C6F198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032F5E51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4B41F3E9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  <w:p w14:paraId="3C370B1D" w14:textId="77777777" w:rsidR="00FD3602" w:rsidRDefault="00FD3602">
            <w:pPr>
              <w:spacing w:before="120" w:after="120"/>
              <w:ind w:right="113"/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26B21D5F" w14:textId="7BF55103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Evaluation</w:t>
            </w:r>
            <w:r w:rsidR="00FE6032">
              <w:t>.</w:t>
            </w:r>
            <w:r>
              <w:t xml:space="preserve"> </w:t>
            </w:r>
          </w:p>
          <w:p w14:paraId="1A1D8414" w14:textId="78949C6A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Agencies must award contracts to tenderers who </w:t>
            </w:r>
            <w:r w:rsidR="00413228">
              <w:t xml:space="preserve">will deliver the </w:t>
            </w:r>
            <w:r w:rsidR="00E16D47">
              <w:t>best value for money</w:t>
            </w:r>
            <w:r>
              <w:t xml:space="preserve"> through the published evaluation criteria. Ensure you:</w:t>
            </w:r>
          </w:p>
          <w:p w14:paraId="7960C070" w14:textId="77777777" w:rsidR="00FD3602" w:rsidRDefault="00FD3602">
            <w:pPr>
              <w:spacing w:before="120" w:after="120"/>
              <w:ind w:left="458" w:right="113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test criteria practicality by challenging each criterion to predict any risks that might return results that do not present value for money</w:t>
            </w:r>
          </w:p>
          <w:p w14:paraId="0FC38C57" w14:textId="77777777" w:rsidR="00FD3602" w:rsidRDefault="00FD3602">
            <w:pPr>
              <w:spacing w:before="120" w:after="120"/>
              <w:ind w:left="458" w:right="113" w:hanging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only use the original advertised evaluation criteria in negotiations. Any other factors cannot be considered for the purposes of awarding a contract.</w:t>
            </w:r>
          </w:p>
        </w:tc>
      </w:tr>
      <w:tr w:rsidR="009870E9" w14:paraId="2FBD424D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3307F04A" w14:textId="77777777" w:rsidR="009870E9" w:rsidRDefault="009870E9" w:rsidP="009870E9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  <w:p w14:paraId="0F893CF9" w14:textId="77777777" w:rsidR="009870E9" w:rsidRDefault="009870E9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65152BE2" w14:textId="77777777" w:rsidR="009870E9" w:rsidRDefault="009870E9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Debriefing</w:t>
            </w:r>
            <w:r w:rsidR="00FE6032">
              <w:t>.</w:t>
            </w:r>
          </w:p>
          <w:p w14:paraId="1EF4C884" w14:textId="7968D0F6" w:rsidR="00FE6032" w:rsidRDefault="00FE603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Agencies must make debriefings available on </w:t>
            </w:r>
            <w:r w:rsidR="00D55129">
              <w:t>request and</w:t>
            </w:r>
            <w:r>
              <w:t xml:space="preserve"> outline the reasons the submission was unsuccessful.</w:t>
            </w:r>
          </w:p>
        </w:tc>
      </w:tr>
      <w:tr w:rsidR="00FD3602" w14:paraId="1565C696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793142BA" w14:textId="77777777" w:rsidR="00FD3602" w:rsidRDefault="00FD3602">
            <w:pPr>
              <w:spacing w:before="120" w:after="120"/>
              <w:ind w:left="113" w:right="113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</w:p>
          <w:p w14:paraId="71D9DB45" w14:textId="77777777" w:rsidR="00FD3602" w:rsidRDefault="00FD3602">
            <w:pPr>
              <w:spacing w:before="120" w:after="120"/>
              <w:ind w:left="113" w:right="113"/>
              <w:jc w:val="center"/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4DBDD017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Covered procurement complaints</w:t>
            </w:r>
          </w:p>
          <w:p w14:paraId="05E4DD19" w14:textId="5E1965EA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Suppliers </w:t>
            </w:r>
            <w:r w:rsidR="00EC2B6F">
              <w:t>must ma</w:t>
            </w:r>
            <w:r>
              <w:t xml:space="preserve">ke </w:t>
            </w:r>
            <w:r w:rsidR="00EC2B6F">
              <w:t>written c</w:t>
            </w:r>
            <w:r>
              <w:t>omplaint</w:t>
            </w:r>
            <w:r w:rsidR="00EC2B6F">
              <w:t>s</w:t>
            </w:r>
            <w:r>
              <w:t xml:space="preserve"> directly to the agency head</w:t>
            </w:r>
            <w:r w:rsidR="0099002A">
              <w:t xml:space="preserve"> or nominated delegate</w:t>
            </w:r>
            <w:r>
              <w:t xml:space="preserve"> if they believe an enforceable procurement provision is planned to be, being, or has been breached.</w:t>
            </w:r>
          </w:p>
          <w:p w14:paraId="3802BA49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Agencies must:</w:t>
            </w:r>
          </w:p>
          <w:p w14:paraId="5BB150D1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suspend procurement processes where the supplier’s ability to participate is affected</w:t>
            </w:r>
          </w:p>
          <w:p w14:paraId="3C765B03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where suspension is not in the public interest, issue a Public Interest Certificate</w:t>
            </w:r>
          </w:p>
          <w:p w14:paraId="238E49F3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investigate the complaint and prepare a written report</w:t>
            </w:r>
          </w:p>
          <w:p w14:paraId="24B7AA2C" w14:textId="1230143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attempt to resolve the complaint in a reasonable and prompt manner</w:t>
            </w:r>
          </w:p>
          <w:p w14:paraId="59843561" w14:textId="4000BB4E" w:rsidR="00A45E4A" w:rsidRDefault="00A45E4A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1E7CD8" w14:textId="2DD4C2CE" w:rsidR="00A45E4A" w:rsidRDefault="008F467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Agency f</w:t>
            </w:r>
            <w:r w:rsidR="00A45E4A">
              <w:t xml:space="preserve">ailure to respond </w:t>
            </w:r>
            <w:r>
              <w:t>appropriately may result in the complaint being escalated to the Supreme Court.</w:t>
            </w:r>
            <w:bookmarkStart w:id="0" w:name="_GoBack"/>
            <w:bookmarkEnd w:id="0"/>
          </w:p>
          <w:p w14:paraId="35082AFC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803571" w14:textId="0D44FF9A" w:rsidR="00FD3602" w:rsidRDefault="00FD3602" w:rsidP="00FD3602">
      <w:pPr>
        <w:rPr>
          <w:b/>
          <w:bCs/>
        </w:rPr>
      </w:pPr>
    </w:p>
    <w:p w14:paraId="3C038905" w14:textId="77777777" w:rsidR="00207AEA" w:rsidRDefault="00207AEA" w:rsidP="00FD360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ListTable2-Accent3"/>
        <w:tblW w:w="10632" w:type="dxa"/>
        <w:tblInd w:w="0" w:type="dxa"/>
        <w:tblLook w:val="0480" w:firstRow="0" w:lastRow="0" w:firstColumn="1" w:lastColumn="0" w:noHBand="0" w:noVBand="1"/>
      </w:tblPr>
      <w:tblGrid>
        <w:gridCol w:w="846"/>
        <w:gridCol w:w="9786"/>
      </w:tblGrid>
      <w:tr w:rsidR="00FD3602" w14:paraId="694FCC20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5D8F1ECB" w14:textId="77777777" w:rsidR="00FD3602" w:rsidRDefault="00FD3602">
            <w:pPr>
              <w:spacing w:before="120" w:after="120"/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569D3D91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262626" w:themeColor="text1" w:themeTint="D9"/>
                <w:sz w:val="2"/>
                <w:szCs w:val="2"/>
              </w:rPr>
            </w:pPr>
          </w:p>
        </w:tc>
      </w:tr>
      <w:tr w:rsidR="00FD3602" w14:paraId="64F84EF6" w14:textId="77777777" w:rsidTr="00FD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3556C968" w14:textId="77777777" w:rsidR="00FD3602" w:rsidRDefault="00FD3602">
            <w:pPr>
              <w:spacing w:before="120" w:after="120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</w:tcPr>
          <w:p w14:paraId="5D797631" w14:textId="74B5788C" w:rsidR="00FD3602" w:rsidRDefault="00FD3602">
            <w:pPr>
              <w:spacing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B812F7" wp14:editId="36945CB6">
                  <wp:simplePos x="0" y="0"/>
                  <wp:positionH relativeFrom="margin">
                    <wp:posOffset>-518160</wp:posOffset>
                  </wp:positionH>
                  <wp:positionV relativeFrom="paragraph">
                    <wp:posOffset>61595</wp:posOffset>
                  </wp:positionV>
                  <wp:extent cx="1151890" cy="10712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96"/>
                <w:szCs w:val="96"/>
              </w:rPr>
              <w:t xml:space="preserve">    </w:t>
            </w:r>
          </w:p>
          <w:p w14:paraId="17B826B8" w14:textId="77777777" w:rsidR="00FD3602" w:rsidRDefault="00FD3602">
            <w:pPr>
              <w:spacing w:before="120" w:after="12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96"/>
                <w:szCs w:val="96"/>
              </w:rPr>
              <w:t xml:space="preserve"> Manage</w:t>
            </w:r>
          </w:p>
          <w:p w14:paraId="0EB2306C" w14:textId="77777777" w:rsidR="00FD3602" w:rsidRDefault="00FD3602">
            <w:pPr>
              <w:spacing w:before="120" w:after="12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D3602" w14:paraId="7D2456DC" w14:textId="77777777" w:rsidTr="00FD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24FA2842" w14:textId="77777777" w:rsidR="00FD3602" w:rsidRDefault="00FD3602">
            <w:pPr>
              <w:spacing w:before="120" w:after="120"/>
              <w:ind w:left="113" w:right="113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9786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nil"/>
            </w:tcBorders>
            <w:hideMark/>
          </w:tcPr>
          <w:p w14:paraId="2BE72D3E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Contract Award Notice</w:t>
            </w:r>
          </w:p>
          <w:p w14:paraId="5EBF5F04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Agencies are responsible for ensuring that a Contract Award Notice is completed. The following requirements must be met:</w:t>
            </w:r>
          </w:p>
          <w:bookmarkStart w:id="1" w:name="_Hlk19017753"/>
          <w:p w14:paraId="6EACFED5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bookmarkEnd w:id="1"/>
            <w:r>
              <w:t xml:space="preserve"> Publication must be through NSW eTendering</w:t>
            </w:r>
          </w:p>
          <w:p w14:paraId="7DB91E2C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Publication is to be within 45 days of contract effective date</w:t>
            </w:r>
          </w:p>
          <w:p w14:paraId="41C7744C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Value is to include GST</w:t>
            </w:r>
          </w:p>
          <w:p w14:paraId="1BC55A42" w14:textId="77777777" w:rsidR="00FD3602" w:rsidRDefault="00FD3602">
            <w:pPr>
              <w:spacing w:before="120" w:after="12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672">
              <w:fldChar w:fldCharType="separate"/>
            </w:r>
            <w:r>
              <w:fldChar w:fldCharType="end"/>
            </w:r>
            <w:r>
              <w:t xml:space="preserve"> Contract class must be included </w:t>
            </w:r>
          </w:p>
        </w:tc>
      </w:tr>
    </w:tbl>
    <w:p w14:paraId="4FD0A7BE" w14:textId="77777777" w:rsidR="00FD3602" w:rsidRDefault="00FD3602" w:rsidP="00FD3602">
      <w:pPr>
        <w:rPr>
          <w:rFonts w:asciiTheme="minorHAnsi" w:hAnsiTheme="minorHAnsi" w:cstheme="minorBidi"/>
          <w:sz w:val="22"/>
          <w:szCs w:val="22"/>
        </w:rPr>
      </w:pPr>
    </w:p>
    <w:p w14:paraId="759664DE" w14:textId="77777777" w:rsidR="00FD3602" w:rsidRPr="00CD0144" w:rsidRDefault="00FD3602" w:rsidP="00CD0144"/>
    <w:sectPr w:rsidR="00FD3602" w:rsidRPr="00CD0144" w:rsidSect="000D7D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985" w:right="927" w:bottom="1560" w:left="851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427D" w14:textId="77777777" w:rsidR="000E4AAC" w:rsidRDefault="000E4AAC">
      <w:r>
        <w:separator/>
      </w:r>
    </w:p>
  </w:endnote>
  <w:endnote w:type="continuationSeparator" w:id="0">
    <w:p w14:paraId="2D658878" w14:textId="77777777" w:rsidR="000E4AAC" w:rsidRDefault="000E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0AE1" w14:textId="6FF85A03" w:rsidR="00207AEA" w:rsidRPr="003B7185" w:rsidRDefault="00207AEA" w:rsidP="000D7DDA">
    <w:pPr>
      <w:pStyle w:val="Footer"/>
      <w:pBdr>
        <w:top w:val="single" w:sz="4" w:space="6" w:color="002664"/>
      </w:pBdr>
      <w:jc w:val="right"/>
      <w:rPr>
        <w:rFonts w:cs="Arial"/>
        <w:b/>
        <w:color w:val="002664"/>
        <w:sz w:val="16"/>
        <w:szCs w:val="16"/>
      </w:rPr>
    </w:pPr>
    <w:r>
      <w:rPr>
        <w:rFonts w:cs="Arial"/>
        <w:color w:val="002664"/>
        <w:sz w:val="16"/>
        <w:szCs w:val="16"/>
      </w:rPr>
      <w:t>Department</w:t>
    </w:r>
    <w:r w:rsidRPr="003B7185">
      <w:rPr>
        <w:rFonts w:cs="Arial"/>
        <w:color w:val="002664"/>
        <w:sz w:val="16"/>
        <w:szCs w:val="16"/>
      </w:rPr>
      <w:t xml:space="preserve"> </w:t>
    </w:r>
    <w:r>
      <w:rPr>
        <w:rFonts w:cs="Arial"/>
        <w:color w:val="002664"/>
        <w:sz w:val="16"/>
        <w:szCs w:val="16"/>
      </w:rPr>
      <w:t>of Finance,</w:t>
    </w:r>
    <w:r w:rsidRPr="00247490">
      <w:rPr>
        <w:rFonts w:cs="Arial"/>
        <w:color w:val="002664"/>
        <w:sz w:val="16"/>
        <w:szCs w:val="16"/>
      </w:rPr>
      <w:t xml:space="preserve"> Services</w:t>
    </w:r>
    <w:r>
      <w:rPr>
        <w:rFonts w:cs="Arial"/>
        <w:color w:val="002664"/>
        <w:sz w:val="16"/>
        <w:szCs w:val="16"/>
      </w:rPr>
      <w:t xml:space="preserve"> &amp; Innovation</w:t>
    </w:r>
  </w:p>
  <w:p w14:paraId="0B6B1C0B" w14:textId="342F9D9D" w:rsidR="00207AEA" w:rsidRPr="00433500" w:rsidRDefault="00207AEA" w:rsidP="000D7DDA">
    <w:pPr>
      <w:pStyle w:val="Footer"/>
      <w:spacing w:before="60"/>
      <w:jc w:val="right"/>
      <w:rPr>
        <w:rFonts w:cs="Arial"/>
        <w:color w:val="002664"/>
        <w:sz w:val="16"/>
        <w:szCs w:val="16"/>
      </w:rPr>
    </w:pPr>
    <w:r w:rsidRPr="00996031">
      <w:rPr>
        <w:rFonts w:cs="Arial"/>
        <w:b/>
        <w:color w:val="002664"/>
        <w:sz w:val="16"/>
        <w:szCs w:val="16"/>
      </w:rPr>
      <w:t xml:space="preserve">P: </w:t>
    </w:r>
    <w:r>
      <w:rPr>
        <w:rFonts w:cs="Arial"/>
        <w:color w:val="002664"/>
        <w:sz w:val="16"/>
        <w:szCs w:val="16"/>
      </w:rPr>
      <w:t xml:space="preserve">1800 </w:t>
    </w:r>
    <w:proofErr w:type="spellStart"/>
    <w:r>
      <w:rPr>
        <w:rFonts w:cs="Arial"/>
        <w:color w:val="002664"/>
        <w:sz w:val="16"/>
        <w:szCs w:val="16"/>
      </w:rPr>
      <w:t>nswbuy</w:t>
    </w:r>
    <w:proofErr w:type="spellEnd"/>
    <w:r>
      <w:rPr>
        <w:rFonts w:cs="Arial"/>
        <w:color w:val="002664"/>
        <w:sz w:val="16"/>
        <w:szCs w:val="16"/>
      </w:rPr>
      <w:t xml:space="preserve"> (1800 679 289)</w:t>
    </w:r>
    <w:r w:rsidRPr="00996031">
      <w:rPr>
        <w:rFonts w:cs="Arial"/>
        <w:color w:val="002664"/>
        <w:sz w:val="16"/>
        <w:szCs w:val="16"/>
      </w:rPr>
      <w:t xml:space="preserve"> </w:t>
    </w:r>
    <w:r w:rsidRPr="00996031">
      <w:rPr>
        <w:rFonts w:cs="Arial"/>
        <w:b/>
        <w:color w:val="002664"/>
        <w:sz w:val="16"/>
        <w:szCs w:val="16"/>
      </w:rPr>
      <w:t xml:space="preserve">E: </w:t>
    </w:r>
    <w:r>
      <w:rPr>
        <w:rFonts w:cs="Arial"/>
        <w:color w:val="002664"/>
        <w:sz w:val="16"/>
        <w:szCs w:val="16"/>
      </w:rPr>
      <w:t>nswbuy@finance</w:t>
    </w:r>
    <w:r w:rsidRPr="00635568">
      <w:rPr>
        <w:rFonts w:cs="Arial"/>
        <w:color w:val="002664"/>
        <w:sz w:val="16"/>
        <w:szCs w:val="16"/>
      </w:rPr>
      <w:t>.nsw.gov.au</w:t>
    </w:r>
    <w:r>
      <w:rPr>
        <w:rFonts w:cs="Arial"/>
        <w:b/>
        <w:color w:val="002664"/>
        <w:sz w:val="16"/>
        <w:szCs w:val="16"/>
      </w:rPr>
      <w:t xml:space="preserve"> | </w:t>
    </w:r>
    <w:r>
      <w:rPr>
        <w:rFonts w:cs="Arial"/>
        <w:color w:val="002664"/>
        <w:sz w:val="16"/>
        <w:szCs w:val="16"/>
      </w:rPr>
      <w:t>www.procurepoint.nsw.gov</w:t>
    </w:r>
    <w:r w:rsidRPr="00433500">
      <w:rPr>
        <w:rFonts w:cs="Arial"/>
        <w:color w:val="002664"/>
        <w:sz w:val="16"/>
        <w:szCs w:val="16"/>
      </w:rPr>
      <w:t>.au</w:t>
    </w:r>
  </w:p>
  <w:p w14:paraId="65E68C0C" w14:textId="77777777" w:rsidR="00207AEA" w:rsidRPr="000D7DDA" w:rsidRDefault="008F4672">
    <w:pPr>
      <w:pStyle w:val="Footer"/>
      <w:jc w:val="right"/>
      <w:rPr>
        <w:sz w:val="16"/>
        <w:szCs w:val="16"/>
      </w:rPr>
    </w:pPr>
    <w:sdt>
      <w:sdtPr>
        <w:id w:val="395172271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207AEA" w:rsidRPr="000D7DDA">
          <w:rPr>
            <w:sz w:val="16"/>
            <w:szCs w:val="16"/>
          </w:rPr>
          <w:fldChar w:fldCharType="begin"/>
        </w:r>
        <w:r w:rsidR="00207AEA" w:rsidRPr="000D7DDA">
          <w:rPr>
            <w:sz w:val="16"/>
            <w:szCs w:val="16"/>
          </w:rPr>
          <w:instrText xml:space="preserve"> PAGE   \* MERGEFORMAT </w:instrText>
        </w:r>
        <w:r w:rsidR="00207AEA" w:rsidRPr="000D7DDA">
          <w:rPr>
            <w:sz w:val="16"/>
            <w:szCs w:val="16"/>
          </w:rPr>
          <w:fldChar w:fldCharType="separate"/>
        </w:r>
        <w:r w:rsidR="00207AEA">
          <w:rPr>
            <w:noProof/>
            <w:sz w:val="16"/>
            <w:szCs w:val="16"/>
          </w:rPr>
          <w:t>2</w:t>
        </w:r>
        <w:r w:rsidR="00207AEA" w:rsidRPr="000D7DDA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85491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2858E33" w14:textId="3850509A" w:rsidR="00207AEA" w:rsidRPr="003B7185" w:rsidRDefault="00207AEA" w:rsidP="000D7DDA">
        <w:pPr>
          <w:pStyle w:val="Footer"/>
          <w:pBdr>
            <w:top w:val="single" w:sz="4" w:space="6" w:color="002664"/>
          </w:pBdr>
          <w:jc w:val="right"/>
          <w:rPr>
            <w:rFonts w:cs="Arial"/>
            <w:b/>
            <w:color w:val="002664"/>
            <w:sz w:val="16"/>
            <w:szCs w:val="16"/>
          </w:rPr>
        </w:pPr>
        <w:r w:rsidRPr="003B7185">
          <w:rPr>
            <w:rFonts w:cs="Arial"/>
            <w:color w:val="002664"/>
            <w:sz w:val="16"/>
            <w:szCs w:val="16"/>
          </w:rPr>
          <w:t xml:space="preserve"> </w:t>
        </w:r>
        <w:r>
          <w:rPr>
            <w:rFonts w:cs="Arial"/>
            <w:color w:val="002664"/>
            <w:sz w:val="16"/>
            <w:szCs w:val="16"/>
          </w:rPr>
          <w:t>NSW Treasury</w:t>
        </w:r>
      </w:p>
      <w:p w14:paraId="74B8E590" w14:textId="133B2D17" w:rsidR="00207AEA" w:rsidRPr="00433500" w:rsidRDefault="00207AEA" w:rsidP="000D7DDA">
        <w:pPr>
          <w:pStyle w:val="Footer"/>
          <w:spacing w:before="60"/>
          <w:jc w:val="right"/>
          <w:rPr>
            <w:rFonts w:cs="Arial"/>
            <w:color w:val="002664"/>
            <w:sz w:val="16"/>
            <w:szCs w:val="16"/>
          </w:rPr>
        </w:pPr>
        <w:r w:rsidRPr="00996031">
          <w:rPr>
            <w:rFonts w:cs="Arial"/>
            <w:b/>
            <w:color w:val="002664"/>
            <w:sz w:val="16"/>
            <w:szCs w:val="16"/>
          </w:rPr>
          <w:t xml:space="preserve">P: </w:t>
        </w:r>
        <w:r w:rsidRPr="00996031">
          <w:rPr>
            <w:rFonts w:cs="Arial"/>
            <w:color w:val="002664"/>
            <w:sz w:val="16"/>
            <w:szCs w:val="16"/>
          </w:rPr>
          <w:t xml:space="preserve">1800 </w:t>
        </w:r>
        <w:r>
          <w:rPr>
            <w:rFonts w:cs="Arial"/>
            <w:color w:val="002664"/>
            <w:sz w:val="16"/>
            <w:szCs w:val="16"/>
          </w:rPr>
          <w:t>679 289</w:t>
        </w:r>
        <w:r w:rsidRPr="00996031">
          <w:rPr>
            <w:rFonts w:cs="Arial"/>
            <w:color w:val="002664"/>
            <w:sz w:val="16"/>
            <w:szCs w:val="16"/>
          </w:rPr>
          <w:t xml:space="preserve"> </w:t>
        </w:r>
        <w:r w:rsidRPr="00996031">
          <w:rPr>
            <w:rFonts w:cs="Arial"/>
            <w:b/>
            <w:color w:val="002664"/>
            <w:sz w:val="16"/>
            <w:szCs w:val="16"/>
          </w:rPr>
          <w:t xml:space="preserve">E: </w:t>
        </w:r>
        <w:r>
          <w:rPr>
            <w:rFonts w:cs="Arial"/>
            <w:color w:val="002664"/>
            <w:sz w:val="16"/>
            <w:szCs w:val="16"/>
          </w:rPr>
          <w:t>nswbuy@treasury</w:t>
        </w:r>
        <w:r w:rsidRPr="00635568">
          <w:rPr>
            <w:rFonts w:cs="Arial"/>
            <w:color w:val="002664"/>
            <w:sz w:val="16"/>
            <w:szCs w:val="16"/>
          </w:rPr>
          <w:t>.nsw.gov.au</w:t>
        </w:r>
        <w:r>
          <w:rPr>
            <w:rFonts w:cs="Arial"/>
            <w:b/>
            <w:color w:val="002664"/>
            <w:sz w:val="16"/>
            <w:szCs w:val="16"/>
          </w:rPr>
          <w:t xml:space="preserve"> | </w:t>
        </w:r>
        <w:r>
          <w:rPr>
            <w:rFonts w:cs="Arial"/>
            <w:color w:val="002664"/>
            <w:sz w:val="16"/>
            <w:szCs w:val="16"/>
          </w:rPr>
          <w:t>www.procurepoint.nsw.gov</w:t>
        </w:r>
        <w:r w:rsidRPr="00433500">
          <w:rPr>
            <w:rFonts w:cs="Arial"/>
            <w:color w:val="002664"/>
            <w:sz w:val="16"/>
            <w:szCs w:val="16"/>
          </w:rPr>
          <w:t>.au</w:t>
        </w:r>
      </w:p>
      <w:p w14:paraId="2355B8F6" w14:textId="10C4D2DD" w:rsidR="00207AEA" w:rsidRPr="00B756BC" w:rsidRDefault="00207AEA" w:rsidP="000D7DDA">
        <w:pPr>
          <w:pStyle w:val="Footer"/>
          <w:jc w:val="right"/>
          <w:rPr>
            <w:szCs w:val="16"/>
          </w:rPr>
        </w:pPr>
        <w:r w:rsidRPr="000D7DDA">
          <w:rPr>
            <w:sz w:val="16"/>
            <w:szCs w:val="16"/>
          </w:rPr>
          <w:fldChar w:fldCharType="begin"/>
        </w:r>
        <w:r w:rsidRPr="000D7DDA">
          <w:rPr>
            <w:sz w:val="16"/>
            <w:szCs w:val="16"/>
          </w:rPr>
          <w:instrText xml:space="preserve"> PAGE   \* MERGEFORMAT </w:instrText>
        </w:r>
        <w:r w:rsidRPr="000D7DD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8</w:t>
        </w:r>
        <w:r w:rsidRPr="000D7DDA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7015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E50732B" w14:textId="276936EE" w:rsidR="00207AEA" w:rsidRPr="003B7185" w:rsidRDefault="00207AEA" w:rsidP="000D7DDA">
        <w:pPr>
          <w:pStyle w:val="Footer"/>
          <w:pBdr>
            <w:top w:val="single" w:sz="4" w:space="6" w:color="002664"/>
          </w:pBdr>
          <w:jc w:val="right"/>
          <w:rPr>
            <w:rFonts w:cs="Arial"/>
            <w:b/>
            <w:color w:val="002664"/>
            <w:sz w:val="16"/>
            <w:szCs w:val="16"/>
          </w:rPr>
        </w:pPr>
        <w:r>
          <w:rPr>
            <w:rFonts w:cs="Arial"/>
            <w:color w:val="002664"/>
            <w:sz w:val="16"/>
            <w:szCs w:val="16"/>
          </w:rPr>
          <w:t>NSW Treasury</w:t>
        </w:r>
      </w:p>
      <w:p w14:paraId="2A5C357A" w14:textId="454ED9FC" w:rsidR="00207AEA" w:rsidRPr="00433500" w:rsidRDefault="00207AEA" w:rsidP="000D7DDA">
        <w:pPr>
          <w:pStyle w:val="Footer"/>
          <w:spacing w:before="60"/>
          <w:jc w:val="right"/>
          <w:rPr>
            <w:rFonts w:cs="Arial"/>
            <w:color w:val="002664"/>
            <w:sz w:val="16"/>
            <w:szCs w:val="16"/>
          </w:rPr>
        </w:pPr>
        <w:r w:rsidRPr="00996031">
          <w:rPr>
            <w:rFonts w:cs="Arial"/>
            <w:b/>
            <w:color w:val="002664"/>
            <w:sz w:val="16"/>
            <w:szCs w:val="16"/>
          </w:rPr>
          <w:t>P:</w:t>
        </w:r>
        <w:r w:rsidRPr="00996031">
          <w:rPr>
            <w:rFonts w:cs="Arial"/>
            <w:color w:val="002664"/>
            <w:sz w:val="16"/>
            <w:szCs w:val="16"/>
          </w:rPr>
          <w:t xml:space="preserve"> 1800 679 289 </w:t>
        </w:r>
        <w:r w:rsidRPr="00996031">
          <w:rPr>
            <w:rFonts w:cs="Arial"/>
            <w:b/>
            <w:color w:val="002664"/>
            <w:sz w:val="16"/>
            <w:szCs w:val="16"/>
          </w:rPr>
          <w:t xml:space="preserve">E: </w:t>
        </w:r>
        <w:r>
          <w:rPr>
            <w:rFonts w:cs="Arial"/>
            <w:color w:val="002664"/>
            <w:sz w:val="16"/>
            <w:szCs w:val="16"/>
          </w:rPr>
          <w:t>nswbuy@treasury</w:t>
        </w:r>
        <w:r w:rsidRPr="00635568">
          <w:rPr>
            <w:rFonts w:cs="Arial"/>
            <w:color w:val="002664"/>
            <w:sz w:val="16"/>
            <w:szCs w:val="16"/>
          </w:rPr>
          <w:t>.nsw.gov.au</w:t>
        </w:r>
        <w:r>
          <w:rPr>
            <w:rFonts w:cs="Arial"/>
            <w:b/>
            <w:color w:val="002664"/>
            <w:sz w:val="16"/>
            <w:szCs w:val="16"/>
          </w:rPr>
          <w:t xml:space="preserve"> | </w:t>
        </w:r>
        <w:r>
          <w:rPr>
            <w:rFonts w:cs="Arial"/>
            <w:color w:val="002664"/>
            <w:sz w:val="16"/>
            <w:szCs w:val="16"/>
          </w:rPr>
          <w:t>www.procurepoint.nsw.gov</w:t>
        </w:r>
        <w:r w:rsidRPr="00433500">
          <w:rPr>
            <w:rFonts w:cs="Arial"/>
            <w:color w:val="002664"/>
            <w:sz w:val="16"/>
            <w:szCs w:val="16"/>
          </w:rPr>
          <w:t>.au</w:t>
        </w:r>
      </w:p>
      <w:p w14:paraId="5C095FA8" w14:textId="4F742825" w:rsidR="00207AEA" w:rsidRPr="000D7DDA" w:rsidRDefault="00207AEA" w:rsidP="000D7DDA">
        <w:pPr>
          <w:pStyle w:val="Footer"/>
          <w:jc w:val="right"/>
          <w:rPr>
            <w:sz w:val="16"/>
            <w:szCs w:val="16"/>
          </w:rPr>
        </w:pPr>
        <w:r w:rsidRPr="000D7DDA">
          <w:rPr>
            <w:sz w:val="16"/>
            <w:szCs w:val="16"/>
          </w:rPr>
          <w:fldChar w:fldCharType="begin"/>
        </w:r>
        <w:r w:rsidRPr="000D7DDA">
          <w:rPr>
            <w:sz w:val="16"/>
            <w:szCs w:val="16"/>
          </w:rPr>
          <w:instrText xml:space="preserve"> PAGE   \* MERGEFORMAT </w:instrText>
        </w:r>
        <w:r w:rsidRPr="000D7DD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0D7DDA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259E" w14:textId="77777777" w:rsidR="000E4AAC" w:rsidRDefault="000E4AAC">
      <w:r>
        <w:separator/>
      </w:r>
    </w:p>
  </w:footnote>
  <w:footnote w:type="continuationSeparator" w:id="0">
    <w:p w14:paraId="62A69FFE" w14:textId="77777777" w:rsidR="000E4AAC" w:rsidRDefault="000E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9CC6" w14:textId="77777777" w:rsidR="00207AEA" w:rsidRPr="004D5C73" w:rsidRDefault="00207AEA">
    <w:pPr>
      <w:pStyle w:val="Header"/>
      <w:rPr>
        <w:rStyle w:val="Style1Char"/>
      </w:rPr>
    </w:pPr>
    <w:r>
      <w:rPr>
        <w:rStyle w:val="Style1Char"/>
      </w:rPr>
      <w:t>Co</w:t>
    </w:r>
    <w:r w:rsidRPr="004D5C73">
      <w:rPr>
        <w:rStyle w:val="Style1Char"/>
      </w:rPr>
      <w:t>ntract Award Disclosures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317C" w14:textId="630D7C69" w:rsidR="00207AEA" w:rsidRDefault="00207AEA" w:rsidP="000A2AF1">
    <w:pPr>
      <w:pStyle w:val="Header"/>
    </w:pPr>
    <w:r w:rsidRPr="009C32C3">
      <w:rPr>
        <w:rFonts w:cs="Arial"/>
        <w:b/>
        <w:iCs/>
        <w:noProof/>
        <w:color w:val="003399"/>
        <w:sz w:val="18"/>
        <w:szCs w:val="18"/>
        <w:lang w:eastAsia="en-AU"/>
      </w:rPr>
      <w:drawing>
        <wp:anchor distT="0" distB="0" distL="114300" distR="114300" simplePos="0" relativeHeight="251656704" behindDoc="1" locked="0" layoutInCell="1" allowOverlap="1" wp14:anchorId="6617716F" wp14:editId="344511AB">
          <wp:simplePos x="0" y="0"/>
          <wp:positionH relativeFrom="page">
            <wp:posOffset>2026285</wp:posOffset>
          </wp:positionH>
          <wp:positionV relativeFrom="page">
            <wp:posOffset>405955</wp:posOffset>
          </wp:positionV>
          <wp:extent cx="4931410" cy="571500"/>
          <wp:effectExtent l="0" t="0" r="254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SW Gover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05E">
      <w:rPr>
        <w:rStyle w:val="Style1Char"/>
      </w:rPr>
      <w:t xml:space="preserve"> </w:t>
    </w:r>
    <w:r>
      <w:rPr>
        <w:rStyle w:val="Style1Char"/>
      </w:rPr>
      <w:t>Procurement (Enforceable Procurement Provisions) Direction -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B7EF" w14:textId="7CA0BA06" w:rsidR="00207AEA" w:rsidRPr="00764D40" w:rsidRDefault="008F4672" w:rsidP="00764D40">
    <w:pPr>
      <w:spacing w:after="240" w:line="360" w:lineRule="exact"/>
      <w:jc w:val="right"/>
      <w:rPr>
        <w:rFonts w:cs="Arial"/>
        <w:b/>
        <w:color w:val="153389"/>
        <w:sz w:val="32"/>
        <w:szCs w:val="32"/>
      </w:rPr>
    </w:pPr>
    <w:sdt>
      <w:sdtPr>
        <w:rPr>
          <w:rFonts w:cs="Arial"/>
          <w:noProof/>
          <w:color w:val="153389"/>
          <w:sz w:val="32"/>
          <w:szCs w:val="32"/>
        </w:rPr>
        <w:id w:val="2048561383"/>
        <w:docPartObj>
          <w:docPartGallery w:val="Watermarks"/>
          <w:docPartUnique/>
        </w:docPartObj>
      </w:sdtPr>
      <w:sdtEndPr/>
      <w:sdtContent>
        <w:r>
          <w:rPr>
            <w:rFonts w:cs="Arial"/>
            <w:noProof/>
            <w:color w:val="153389"/>
            <w:sz w:val="32"/>
            <w:szCs w:val="32"/>
          </w:rPr>
          <w:pict w14:anchorId="3A10BB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07AEA" w:rsidRPr="005B578A">
      <w:rPr>
        <w:rFonts w:cs="Arial"/>
        <w:noProof/>
        <w:color w:val="153389"/>
        <w:sz w:val="32"/>
        <w:szCs w:val="32"/>
        <w:lang w:eastAsia="en-AU"/>
      </w:rPr>
      <w:drawing>
        <wp:anchor distT="0" distB="0" distL="114300" distR="114300" simplePos="0" relativeHeight="251657728" behindDoc="0" locked="0" layoutInCell="1" allowOverlap="1" wp14:anchorId="0C08860B" wp14:editId="4BBD4872">
          <wp:simplePos x="0" y="0"/>
          <wp:positionH relativeFrom="margin">
            <wp:align>left</wp:align>
          </wp:positionH>
          <wp:positionV relativeFrom="paragraph">
            <wp:posOffset>-421640</wp:posOffset>
          </wp:positionV>
          <wp:extent cx="962025" cy="10655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gm2\Desktop\Procurement_NSW_Gov_2 colour_RGB_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AEA">
      <w:rPr>
        <w:rFonts w:cs="Arial"/>
        <w:noProof/>
        <w:color w:val="153389"/>
        <w:sz w:val="32"/>
        <w:szCs w:val="32"/>
      </w:rPr>
      <w:t>Checklist</w:t>
    </w:r>
  </w:p>
  <w:p w14:paraId="701761A3" w14:textId="77777777" w:rsidR="00207AEA" w:rsidRDefault="00207A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256"/>
    <w:multiLevelType w:val="hybridMultilevel"/>
    <w:tmpl w:val="60F8A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00BE"/>
    <w:multiLevelType w:val="hybridMultilevel"/>
    <w:tmpl w:val="69B00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B52"/>
    <w:multiLevelType w:val="hybridMultilevel"/>
    <w:tmpl w:val="456003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1C70"/>
    <w:multiLevelType w:val="hybridMultilevel"/>
    <w:tmpl w:val="A738A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A5C0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4B8D"/>
    <w:multiLevelType w:val="hybridMultilevel"/>
    <w:tmpl w:val="2E96A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61B6"/>
    <w:multiLevelType w:val="hybridMultilevel"/>
    <w:tmpl w:val="A93CE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45CF4"/>
    <w:multiLevelType w:val="hybridMultilevel"/>
    <w:tmpl w:val="18EEB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589"/>
    <w:multiLevelType w:val="hybridMultilevel"/>
    <w:tmpl w:val="C03A2B02"/>
    <w:lvl w:ilvl="0" w:tplc="35AA44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B0434"/>
    <w:multiLevelType w:val="hybridMultilevel"/>
    <w:tmpl w:val="BCFEF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10933"/>
    <w:multiLevelType w:val="hybridMultilevel"/>
    <w:tmpl w:val="28583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22C16"/>
    <w:multiLevelType w:val="hybridMultilevel"/>
    <w:tmpl w:val="08A287D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B28F7"/>
    <w:multiLevelType w:val="hybridMultilevel"/>
    <w:tmpl w:val="7FEADA1C"/>
    <w:lvl w:ilvl="0" w:tplc="A26470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032F3"/>
    <w:multiLevelType w:val="hybridMultilevel"/>
    <w:tmpl w:val="7DA82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25670"/>
    <w:multiLevelType w:val="hybridMultilevel"/>
    <w:tmpl w:val="A4BE9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90F30"/>
    <w:multiLevelType w:val="hybridMultilevel"/>
    <w:tmpl w:val="CC92A8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E06BEE"/>
    <w:multiLevelType w:val="hybridMultilevel"/>
    <w:tmpl w:val="9DC64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2E"/>
    <w:multiLevelType w:val="hybridMultilevel"/>
    <w:tmpl w:val="44AE4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14E15"/>
    <w:multiLevelType w:val="hybridMultilevel"/>
    <w:tmpl w:val="92043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09F2"/>
    <w:multiLevelType w:val="hybridMultilevel"/>
    <w:tmpl w:val="5C50D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C51CC"/>
    <w:multiLevelType w:val="hybridMultilevel"/>
    <w:tmpl w:val="AE14E87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15A744E"/>
    <w:multiLevelType w:val="hybridMultilevel"/>
    <w:tmpl w:val="B86EC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2174D416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0027A"/>
    <w:multiLevelType w:val="hybridMultilevel"/>
    <w:tmpl w:val="81669A9A"/>
    <w:lvl w:ilvl="0" w:tplc="35509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2959DC"/>
    <w:multiLevelType w:val="hybridMultilevel"/>
    <w:tmpl w:val="B86EC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2174D416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21EB"/>
    <w:multiLevelType w:val="hybridMultilevel"/>
    <w:tmpl w:val="EE281C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6D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2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C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8C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00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E6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4B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68A036F"/>
    <w:multiLevelType w:val="hybridMultilevel"/>
    <w:tmpl w:val="C338B4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502F7"/>
    <w:multiLevelType w:val="hybridMultilevel"/>
    <w:tmpl w:val="E85CB32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DA0AD8"/>
    <w:multiLevelType w:val="multilevel"/>
    <w:tmpl w:val="4A3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624F63"/>
    <w:multiLevelType w:val="hybridMultilevel"/>
    <w:tmpl w:val="558EA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AE46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25158"/>
    <w:multiLevelType w:val="hybridMultilevel"/>
    <w:tmpl w:val="2458A0C2"/>
    <w:lvl w:ilvl="0" w:tplc="539AA9F2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895D79"/>
    <w:multiLevelType w:val="hybridMultilevel"/>
    <w:tmpl w:val="50FEA8BA"/>
    <w:lvl w:ilvl="0" w:tplc="7E9C99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C65A2"/>
    <w:multiLevelType w:val="hybridMultilevel"/>
    <w:tmpl w:val="94B8E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3223F"/>
    <w:multiLevelType w:val="hybridMultilevel"/>
    <w:tmpl w:val="52D076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6D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2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C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8C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00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E6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4B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F523F5"/>
    <w:multiLevelType w:val="hybridMultilevel"/>
    <w:tmpl w:val="76CCD32A"/>
    <w:lvl w:ilvl="0" w:tplc="35509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E1B9A"/>
    <w:multiLevelType w:val="hybridMultilevel"/>
    <w:tmpl w:val="22BA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410CF"/>
    <w:multiLevelType w:val="hybridMultilevel"/>
    <w:tmpl w:val="B37C2BF2"/>
    <w:lvl w:ilvl="0" w:tplc="AEC89F3E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2157D5"/>
    <w:multiLevelType w:val="hybridMultilevel"/>
    <w:tmpl w:val="863638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D3465"/>
    <w:multiLevelType w:val="hybridMultilevel"/>
    <w:tmpl w:val="64A0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53B9F"/>
    <w:multiLevelType w:val="hybridMultilevel"/>
    <w:tmpl w:val="1F128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24138"/>
    <w:multiLevelType w:val="hybridMultilevel"/>
    <w:tmpl w:val="7DA82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87DB8"/>
    <w:multiLevelType w:val="hybridMultilevel"/>
    <w:tmpl w:val="D73E1DCA"/>
    <w:lvl w:ilvl="0" w:tplc="2BC0B4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5907ED"/>
    <w:multiLevelType w:val="hybridMultilevel"/>
    <w:tmpl w:val="E20688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6DD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27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C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8C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00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E6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4B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ADC3BE6"/>
    <w:multiLevelType w:val="hybridMultilevel"/>
    <w:tmpl w:val="E19828B2"/>
    <w:lvl w:ilvl="0" w:tplc="35509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B3642"/>
    <w:multiLevelType w:val="hybridMultilevel"/>
    <w:tmpl w:val="9A6466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93881"/>
    <w:multiLevelType w:val="hybridMultilevel"/>
    <w:tmpl w:val="F760A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D79ED"/>
    <w:multiLevelType w:val="multilevel"/>
    <w:tmpl w:val="9518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7954E0"/>
    <w:multiLevelType w:val="hybridMultilevel"/>
    <w:tmpl w:val="C6B0D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4641F"/>
    <w:multiLevelType w:val="hybridMultilevel"/>
    <w:tmpl w:val="52D2CE16"/>
    <w:lvl w:ilvl="0" w:tplc="ACE8F16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F946FA"/>
    <w:multiLevelType w:val="hybridMultilevel"/>
    <w:tmpl w:val="5E2E9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0"/>
  </w:num>
  <w:num w:numId="5">
    <w:abstractNumId w:val="38"/>
  </w:num>
  <w:num w:numId="6">
    <w:abstractNumId w:val="12"/>
  </w:num>
  <w:num w:numId="7">
    <w:abstractNumId w:val="13"/>
  </w:num>
  <w:num w:numId="8">
    <w:abstractNumId w:val="31"/>
  </w:num>
  <w:num w:numId="9">
    <w:abstractNumId w:val="23"/>
  </w:num>
  <w:num w:numId="10">
    <w:abstractNumId w:val="40"/>
  </w:num>
  <w:num w:numId="11">
    <w:abstractNumId w:val="39"/>
  </w:num>
  <w:num w:numId="12">
    <w:abstractNumId w:val="41"/>
  </w:num>
  <w:num w:numId="13">
    <w:abstractNumId w:val="47"/>
  </w:num>
  <w:num w:numId="14">
    <w:abstractNumId w:val="4"/>
  </w:num>
  <w:num w:numId="15">
    <w:abstractNumId w:val="15"/>
  </w:num>
  <w:num w:numId="16">
    <w:abstractNumId w:val="18"/>
  </w:num>
  <w:num w:numId="17">
    <w:abstractNumId w:val="43"/>
  </w:num>
  <w:num w:numId="18">
    <w:abstractNumId w:val="25"/>
  </w:num>
  <w:num w:numId="19">
    <w:abstractNumId w:val="32"/>
  </w:num>
  <w:num w:numId="20">
    <w:abstractNumId w:val="21"/>
  </w:num>
  <w:num w:numId="21">
    <w:abstractNumId w:val="24"/>
  </w:num>
  <w:num w:numId="22">
    <w:abstractNumId w:val="35"/>
  </w:num>
  <w:num w:numId="23">
    <w:abstractNumId w:val="2"/>
  </w:num>
  <w:num w:numId="24">
    <w:abstractNumId w:val="10"/>
  </w:num>
  <w:num w:numId="25">
    <w:abstractNumId w:val="45"/>
  </w:num>
  <w:num w:numId="26">
    <w:abstractNumId w:val="42"/>
  </w:num>
  <w:num w:numId="27">
    <w:abstractNumId w:val="7"/>
  </w:num>
  <w:num w:numId="28">
    <w:abstractNumId w:val="11"/>
  </w:num>
  <w:num w:numId="29">
    <w:abstractNumId w:val="29"/>
  </w:num>
  <w:num w:numId="30">
    <w:abstractNumId w:val="14"/>
  </w:num>
  <w:num w:numId="31">
    <w:abstractNumId w:val="5"/>
  </w:num>
  <w:num w:numId="32">
    <w:abstractNumId w:val="27"/>
  </w:num>
  <w:num w:numId="33">
    <w:abstractNumId w:val="8"/>
  </w:num>
  <w:num w:numId="34">
    <w:abstractNumId w:val="3"/>
  </w:num>
  <w:num w:numId="35">
    <w:abstractNumId w:val="16"/>
  </w:num>
  <w:num w:numId="36">
    <w:abstractNumId w:val="1"/>
  </w:num>
  <w:num w:numId="37">
    <w:abstractNumId w:val="33"/>
  </w:num>
  <w:num w:numId="38">
    <w:abstractNumId w:val="37"/>
  </w:num>
  <w:num w:numId="39">
    <w:abstractNumId w:val="9"/>
  </w:num>
  <w:num w:numId="40">
    <w:abstractNumId w:val="26"/>
  </w:num>
  <w:num w:numId="41">
    <w:abstractNumId w:val="44"/>
  </w:num>
  <w:num w:numId="42">
    <w:abstractNumId w:val="0"/>
  </w:num>
  <w:num w:numId="43">
    <w:abstractNumId w:val="19"/>
  </w:num>
  <w:num w:numId="44">
    <w:abstractNumId w:val="36"/>
  </w:num>
  <w:num w:numId="45">
    <w:abstractNumId w:val="30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9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F2"/>
    <w:rsid w:val="00006648"/>
    <w:rsid w:val="00013D9E"/>
    <w:rsid w:val="0002026F"/>
    <w:rsid w:val="00020340"/>
    <w:rsid w:val="00022CD6"/>
    <w:rsid w:val="000239E2"/>
    <w:rsid w:val="0003094A"/>
    <w:rsid w:val="0003332A"/>
    <w:rsid w:val="0003561B"/>
    <w:rsid w:val="00040969"/>
    <w:rsid w:val="00045008"/>
    <w:rsid w:val="0004657F"/>
    <w:rsid w:val="000534AF"/>
    <w:rsid w:val="000624FE"/>
    <w:rsid w:val="00063EDE"/>
    <w:rsid w:val="00064D8B"/>
    <w:rsid w:val="000720C7"/>
    <w:rsid w:val="000741DB"/>
    <w:rsid w:val="000752D8"/>
    <w:rsid w:val="00075F78"/>
    <w:rsid w:val="00080194"/>
    <w:rsid w:val="00080BFB"/>
    <w:rsid w:val="00083C20"/>
    <w:rsid w:val="0009146F"/>
    <w:rsid w:val="00091E7B"/>
    <w:rsid w:val="00092513"/>
    <w:rsid w:val="000949DD"/>
    <w:rsid w:val="00095346"/>
    <w:rsid w:val="000A1DFF"/>
    <w:rsid w:val="000A2AF1"/>
    <w:rsid w:val="000A67EA"/>
    <w:rsid w:val="000B1511"/>
    <w:rsid w:val="000B158E"/>
    <w:rsid w:val="000B31A4"/>
    <w:rsid w:val="000B6C5C"/>
    <w:rsid w:val="000C066E"/>
    <w:rsid w:val="000C1484"/>
    <w:rsid w:val="000C6F10"/>
    <w:rsid w:val="000D7DDA"/>
    <w:rsid w:val="000E307B"/>
    <w:rsid w:val="000E3348"/>
    <w:rsid w:val="000E357A"/>
    <w:rsid w:val="000E4AAC"/>
    <w:rsid w:val="000F219E"/>
    <w:rsid w:val="000F6273"/>
    <w:rsid w:val="00101135"/>
    <w:rsid w:val="00101C74"/>
    <w:rsid w:val="0010262C"/>
    <w:rsid w:val="00110428"/>
    <w:rsid w:val="001125B7"/>
    <w:rsid w:val="0011314E"/>
    <w:rsid w:val="00122A64"/>
    <w:rsid w:val="001256AA"/>
    <w:rsid w:val="001256F5"/>
    <w:rsid w:val="00130AF2"/>
    <w:rsid w:val="00134CD4"/>
    <w:rsid w:val="00134F26"/>
    <w:rsid w:val="001360E1"/>
    <w:rsid w:val="00141427"/>
    <w:rsid w:val="00144910"/>
    <w:rsid w:val="001471D3"/>
    <w:rsid w:val="00147418"/>
    <w:rsid w:val="0014784C"/>
    <w:rsid w:val="00150810"/>
    <w:rsid w:val="00153D69"/>
    <w:rsid w:val="001546C6"/>
    <w:rsid w:val="00156CE2"/>
    <w:rsid w:val="00157E24"/>
    <w:rsid w:val="001676A6"/>
    <w:rsid w:val="001708AC"/>
    <w:rsid w:val="00174888"/>
    <w:rsid w:val="001774E8"/>
    <w:rsid w:val="0018335D"/>
    <w:rsid w:val="00187D0A"/>
    <w:rsid w:val="001954FE"/>
    <w:rsid w:val="00196B8D"/>
    <w:rsid w:val="001A4FE0"/>
    <w:rsid w:val="001B7A6E"/>
    <w:rsid w:val="001C5EAF"/>
    <w:rsid w:val="001D09EC"/>
    <w:rsid w:val="001D168A"/>
    <w:rsid w:val="001E240C"/>
    <w:rsid w:val="001E60F6"/>
    <w:rsid w:val="001E7232"/>
    <w:rsid w:val="001F230A"/>
    <w:rsid w:val="001F3FF1"/>
    <w:rsid w:val="001F3FFB"/>
    <w:rsid w:val="001F733E"/>
    <w:rsid w:val="00200221"/>
    <w:rsid w:val="002034F7"/>
    <w:rsid w:val="00207AEA"/>
    <w:rsid w:val="00207CB3"/>
    <w:rsid w:val="00210365"/>
    <w:rsid w:val="0021753E"/>
    <w:rsid w:val="002204AD"/>
    <w:rsid w:val="0022139F"/>
    <w:rsid w:val="00225472"/>
    <w:rsid w:val="00226703"/>
    <w:rsid w:val="0023232B"/>
    <w:rsid w:val="0023264F"/>
    <w:rsid w:val="00233C62"/>
    <w:rsid w:val="002408B3"/>
    <w:rsid w:val="00240A1E"/>
    <w:rsid w:val="00240E21"/>
    <w:rsid w:val="00243EB8"/>
    <w:rsid w:val="00247490"/>
    <w:rsid w:val="00247771"/>
    <w:rsid w:val="00253709"/>
    <w:rsid w:val="00257561"/>
    <w:rsid w:val="002606CF"/>
    <w:rsid w:val="00266865"/>
    <w:rsid w:val="002669C0"/>
    <w:rsid w:val="00271E56"/>
    <w:rsid w:val="00281D74"/>
    <w:rsid w:val="002847DD"/>
    <w:rsid w:val="0028547A"/>
    <w:rsid w:val="00286BB7"/>
    <w:rsid w:val="002878BF"/>
    <w:rsid w:val="00291C66"/>
    <w:rsid w:val="00292859"/>
    <w:rsid w:val="00292F5D"/>
    <w:rsid w:val="00294602"/>
    <w:rsid w:val="00297702"/>
    <w:rsid w:val="002A03DC"/>
    <w:rsid w:val="002A1805"/>
    <w:rsid w:val="002A7644"/>
    <w:rsid w:val="002B69EA"/>
    <w:rsid w:val="002C6880"/>
    <w:rsid w:val="002C69B1"/>
    <w:rsid w:val="002D401B"/>
    <w:rsid w:val="002D6DF5"/>
    <w:rsid w:val="002D7D98"/>
    <w:rsid w:val="002E17A6"/>
    <w:rsid w:val="002E3C53"/>
    <w:rsid w:val="002E5099"/>
    <w:rsid w:val="002E7245"/>
    <w:rsid w:val="002F16D2"/>
    <w:rsid w:val="00300D75"/>
    <w:rsid w:val="003026F3"/>
    <w:rsid w:val="00302807"/>
    <w:rsid w:val="00314E0F"/>
    <w:rsid w:val="00315698"/>
    <w:rsid w:val="00315F2E"/>
    <w:rsid w:val="00316FE7"/>
    <w:rsid w:val="003174AC"/>
    <w:rsid w:val="00321E99"/>
    <w:rsid w:val="003235D6"/>
    <w:rsid w:val="003252DA"/>
    <w:rsid w:val="003319A6"/>
    <w:rsid w:val="0033659E"/>
    <w:rsid w:val="003377E2"/>
    <w:rsid w:val="0034116C"/>
    <w:rsid w:val="0034261F"/>
    <w:rsid w:val="00352BF8"/>
    <w:rsid w:val="00353905"/>
    <w:rsid w:val="00355FEA"/>
    <w:rsid w:val="00360A48"/>
    <w:rsid w:val="003634C5"/>
    <w:rsid w:val="00367282"/>
    <w:rsid w:val="0037064E"/>
    <w:rsid w:val="0037376E"/>
    <w:rsid w:val="00380132"/>
    <w:rsid w:val="003813C7"/>
    <w:rsid w:val="00381ADC"/>
    <w:rsid w:val="003855AC"/>
    <w:rsid w:val="00385B3B"/>
    <w:rsid w:val="00386188"/>
    <w:rsid w:val="003862BA"/>
    <w:rsid w:val="00393368"/>
    <w:rsid w:val="003971FF"/>
    <w:rsid w:val="003A1DE4"/>
    <w:rsid w:val="003A6FCD"/>
    <w:rsid w:val="003A7310"/>
    <w:rsid w:val="003B133B"/>
    <w:rsid w:val="003B7185"/>
    <w:rsid w:val="003B7932"/>
    <w:rsid w:val="003C0A7A"/>
    <w:rsid w:val="003C1535"/>
    <w:rsid w:val="003C447A"/>
    <w:rsid w:val="003C4973"/>
    <w:rsid w:val="003C5360"/>
    <w:rsid w:val="003C5A44"/>
    <w:rsid w:val="003D2971"/>
    <w:rsid w:val="003D47AC"/>
    <w:rsid w:val="003E2644"/>
    <w:rsid w:val="003E47E9"/>
    <w:rsid w:val="003F2115"/>
    <w:rsid w:val="003F2F8C"/>
    <w:rsid w:val="003F3EA2"/>
    <w:rsid w:val="00413228"/>
    <w:rsid w:val="0041341D"/>
    <w:rsid w:val="00420CE8"/>
    <w:rsid w:val="00421C39"/>
    <w:rsid w:val="004238DA"/>
    <w:rsid w:val="00424B28"/>
    <w:rsid w:val="004259F0"/>
    <w:rsid w:val="00425AB1"/>
    <w:rsid w:val="004263A0"/>
    <w:rsid w:val="004272B4"/>
    <w:rsid w:val="004273E9"/>
    <w:rsid w:val="00433500"/>
    <w:rsid w:val="00440D09"/>
    <w:rsid w:val="00441072"/>
    <w:rsid w:val="00441E3B"/>
    <w:rsid w:val="004478AA"/>
    <w:rsid w:val="004523F7"/>
    <w:rsid w:val="00453134"/>
    <w:rsid w:val="004625BC"/>
    <w:rsid w:val="00470E77"/>
    <w:rsid w:val="0048564A"/>
    <w:rsid w:val="0049112C"/>
    <w:rsid w:val="00491B20"/>
    <w:rsid w:val="0049285C"/>
    <w:rsid w:val="0049371E"/>
    <w:rsid w:val="00497757"/>
    <w:rsid w:val="004A226D"/>
    <w:rsid w:val="004B0CF7"/>
    <w:rsid w:val="004B2323"/>
    <w:rsid w:val="004B34C3"/>
    <w:rsid w:val="004B3515"/>
    <w:rsid w:val="004B4694"/>
    <w:rsid w:val="004B4C8D"/>
    <w:rsid w:val="004B51D3"/>
    <w:rsid w:val="004C58E1"/>
    <w:rsid w:val="004D1F71"/>
    <w:rsid w:val="004D3E9A"/>
    <w:rsid w:val="004D4BA9"/>
    <w:rsid w:val="004D5C73"/>
    <w:rsid w:val="004E1AC1"/>
    <w:rsid w:val="004E338A"/>
    <w:rsid w:val="004E4C9F"/>
    <w:rsid w:val="004F07BB"/>
    <w:rsid w:val="004F385E"/>
    <w:rsid w:val="00502AAF"/>
    <w:rsid w:val="00505544"/>
    <w:rsid w:val="00510B6E"/>
    <w:rsid w:val="00510CC5"/>
    <w:rsid w:val="00511E50"/>
    <w:rsid w:val="005141A0"/>
    <w:rsid w:val="00521A69"/>
    <w:rsid w:val="00521AEA"/>
    <w:rsid w:val="00524306"/>
    <w:rsid w:val="00524425"/>
    <w:rsid w:val="0053681F"/>
    <w:rsid w:val="005400D0"/>
    <w:rsid w:val="00546CA7"/>
    <w:rsid w:val="00550815"/>
    <w:rsid w:val="0055121C"/>
    <w:rsid w:val="00553D09"/>
    <w:rsid w:val="00556036"/>
    <w:rsid w:val="00560721"/>
    <w:rsid w:val="00560FBA"/>
    <w:rsid w:val="0057698C"/>
    <w:rsid w:val="00587D9B"/>
    <w:rsid w:val="00590306"/>
    <w:rsid w:val="005946A4"/>
    <w:rsid w:val="005A0A70"/>
    <w:rsid w:val="005A19B9"/>
    <w:rsid w:val="005A50CB"/>
    <w:rsid w:val="005A67F9"/>
    <w:rsid w:val="005A6A0E"/>
    <w:rsid w:val="005A7019"/>
    <w:rsid w:val="005B5FD3"/>
    <w:rsid w:val="005B666B"/>
    <w:rsid w:val="005C2FE7"/>
    <w:rsid w:val="005C74DE"/>
    <w:rsid w:val="005D456C"/>
    <w:rsid w:val="005D7165"/>
    <w:rsid w:val="005E0B4D"/>
    <w:rsid w:val="005E2983"/>
    <w:rsid w:val="005E30F5"/>
    <w:rsid w:val="005E6D9A"/>
    <w:rsid w:val="005F4DC4"/>
    <w:rsid w:val="005F5709"/>
    <w:rsid w:val="005F77E5"/>
    <w:rsid w:val="00600F54"/>
    <w:rsid w:val="006052F7"/>
    <w:rsid w:val="006069D4"/>
    <w:rsid w:val="006102D1"/>
    <w:rsid w:val="00617E04"/>
    <w:rsid w:val="00625115"/>
    <w:rsid w:val="006259F1"/>
    <w:rsid w:val="00626D8D"/>
    <w:rsid w:val="00626F04"/>
    <w:rsid w:val="00635B30"/>
    <w:rsid w:val="006364D2"/>
    <w:rsid w:val="0063797B"/>
    <w:rsid w:val="00643964"/>
    <w:rsid w:val="00643A9C"/>
    <w:rsid w:val="00647D98"/>
    <w:rsid w:val="00650F3B"/>
    <w:rsid w:val="0065104A"/>
    <w:rsid w:val="00653235"/>
    <w:rsid w:val="00654FC5"/>
    <w:rsid w:val="00657107"/>
    <w:rsid w:val="00662A0F"/>
    <w:rsid w:val="00664263"/>
    <w:rsid w:val="0066571C"/>
    <w:rsid w:val="00672577"/>
    <w:rsid w:val="006725A2"/>
    <w:rsid w:val="00674285"/>
    <w:rsid w:val="0067774A"/>
    <w:rsid w:val="00677AF4"/>
    <w:rsid w:val="00680ADC"/>
    <w:rsid w:val="00681278"/>
    <w:rsid w:val="006819EB"/>
    <w:rsid w:val="00681A5C"/>
    <w:rsid w:val="00682E9B"/>
    <w:rsid w:val="00684D4A"/>
    <w:rsid w:val="006852CA"/>
    <w:rsid w:val="0068548C"/>
    <w:rsid w:val="0068624D"/>
    <w:rsid w:val="00691366"/>
    <w:rsid w:val="00691960"/>
    <w:rsid w:val="00696478"/>
    <w:rsid w:val="006A3115"/>
    <w:rsid w:val="006B392F"/>
    <w:rsid w:val="006B4164"/>
    <w:rsid w:val="006B508A"/>
    <w:rsid w:val="006C0115"/>
    <w:rsid w:val="006C2057"/>
    <w:rsid w:val="006C4A13"/>
    <w:rsid w:val="006D4960"/>
    <w:rsid w:val="006D5451"/>
    <w:rsid w:val="006D6DAD"/>
    <w:rsid w:val="006D7CD8"/>
    <w:rsid w:val="006E29E8"/>
    <w:rsid w:val="006E3967"/>
    <w:rsid w:val="006E4084"/>
    <w:rsid w:val="006E7D4C"/>
    <w:rsid w:val="006F3DA0"/>
    <w:rsid w:val="006F4235"/>
    <w:rsid w:val="006F5758"/>
    <w:rsid w:val="00706B96"/>
    <w:rsid w:val="0071477F"/>
    <w:rsid w:val="0071512F"/>
    <w:rsid w:val="00715BB8"/>
    <w:rsid w:val="0072226D"/>
    <w:rsid w:val="0072425B"/>
    <w:rsid w:val="007342BF"/>
    <w:rsid w:val="007458A9"/>
    <w:rsid w:val="0075742D"/>
    <w:rsid w:val="00763591"/>
    <w:rsid w:val="00764D40"/>
    <w:rsid w:val="00766648"/>
    <w:rsid w:val="007705DE"/>
    <w:rsid w:val="00772663"/>
    <w:rsid w:val="00772874"/>
    <w:rsid w:val="0077662B"/>
    <w:rsid w:val="00780B65"/>
    <w:rsid w:val="00780BB7"/>
    <w:rsid w:val="007844CC"/>
    <w:rsid w:val="00785DBC"/>
    <w:rsid w:val="00791B24"/>
    <w:rsid w:val="00792A34"/>
    <w:rsid w:val="00792CA0"/>
    <w:rsid w:val="00795112"/>
    <w:rsid w:val="007A0452"/>
    <w:rsid w:val="007A46DF"/>
    <w:rsid w:val="007A6167"/>
    <w:rsid w:val="007B191C"/>
    <w:rsid w:val="007C23FC"/>
    <w:rsid w:val="007C2E22"/>
    <w:rsid w:val="007C4DBE"/>
    <w:rsid w:val="007C678E"/>
    <w:rsid w:val="007D3372"/>
    <w:rsid w:val="007D622A"/>
    <w:rsid w:val="007E6412"/>
    <w:rsid w:val="007F2EE0"/>
    <w:rsid w:val="007F43CA"/>
    <w:rsid w:val="007F5EE4"/>
    <w:rsid w:val="007F676A"/>
    <w:rsid w:val="00800A1B"/>
    <w:rsid w:val="00804A3F"/>
    <w:rsid w:val="008057F9"/>
    <w:rsid w:val="00806529"/>
    <w:rsid w:val="00807AE8"/>
    <w:rsid w:val="008128D8"/>
    <w:rsid w:val="00815A71"/>
    <w:rsid w:val="008204B6"/>
    <w:rsid w:val="00821EFC"/>
    <w:rsid w:val="00822883"/>
    <w:rsid w:val="00825C6D"/>
    <w:rsid w:val="008441A0"/>
    <w:rsid w:val="00852160"/>
    <w:rsid w:val="00854787"/>
    <w:rsid w:val="00856A11"/>
    <w:rsid w:val="008628B1"/>
    <w:rsid w:val="008638C7"/>
    <w:rsid w:val="0086493C"/>
    <w:rsid w:val="0086579B"/>
    <w:rsid w:val="008718C9"/>
    <w:rsid w:val="00877CAC"/>
    <w:rsid w:val="008809E9"/>
    <w:rsid w:val="0088170C"/>
    <w:rsid w:val="00881A5A"/>
    <w:rsid w:val="00884A65"/>
    <w:rsid w:val="00885D5E"/>
    <w:rsid w:val="00887468"/>
    <w:rsid w:val="00894AA7"/>
    <w:rsid w:val="008950A1"/>
    <w:rsid w:val="0089606B"/>
    <w:rsid w:val="008A3BA6"/>
    <w:rsid w:val="008A4B05"/>
    <w:rsid w:val="008B379D"/>
    <w:rsid w:val="008C4BFB"/>
    <w:rsid w:val="008D0511"/>
    <w:rsid w:val="008E05F7"/>
    <w:rsid w:val="008E49CB"/>
    <w:rsid w:val="008F00A8"/>
    <w:rsid w:val="008F29F5"/>
    <w:rsid w:val="008F4672"/>
    <w:rsid w:val="008F58A7"/>
    <w:rsid w:val="008F68FF"/>
    <w:rsid w:val="0090406D"/>
    <w:rsid w:val="0090496E"/>
    <w:rsid w:val="0090721C"/>
    <w:rsid w:val="00914DB3"/>
    <w:rsid w:val="0091546A"/>
    <w:rsid w:val="0091732A"/>
    <w:rsid w:val="00925196"/>
    <w:rsid w:val="009265BB"/>
    <w:rsid w:val="009369A2"/>
    <w:rsid w:val="00936E55"/>
    <w:rsid w:val="00940BDF"/>
    <w:rsid w:val="00943FFC"/>
    <w:rsid w:val="00950443"/>
    <w:rsid w:val="0095151D"/>
    <w:rsid w:val="00956C38"/>
    <w:rsid w:val="00956FBC"/>
    <w:rsid w:val="0096059F"/>
    <w:rsid w:val="00964767"/>
    <w:rsid w:val="0096548D"/>
    <w:rsid w:val="00973D56"/>
    <w:rsid w:val="0097470B"/>
    <w:rsid w:val="009761E8"/>
    <w:rsid w:val="00976D8B"/>
    <w:rsid w:val="009827E4"/>
    <w:rsid w:val="009870E9"/>
    <w:rsid w:val="0099002A"/>
    <w:rsid w:val="00991948"/>
    <w:rsid w:val="00992035"/>
    <w:rsid w:val="00996031"/>
    <w:rsid w:val="0099752C"/>
    <w:rsid w:val="009A030F"/>
    <w:rsid w:val="009A2C6B"/>
    <w:rsid w:val="009A3F6F"/>
    <w:rsid w:val="009A4A51"/>
    <w:rsid w:val="009A4A79"/>
    <w:rsid w:val="009B0766"/>
    <w:rsid w:val="009B25D1"/>
    <w:rsid w:val="009B5ED0"/>
    <w:rsid w:val="009C1BAF"/>
    <w:rsid w:val="009C20B4"/>
    <w:rsid w:val="009C2121"/>
    <w:rsid w:val="009C3047"/>
    <w:rsid w:val="009C32C3"/>
    <w:rsid w:val="009C408E"/>
    <w:rsid w:val="009C4A66"/>
    <w:rsid w:val="009C586D"/>
    <w:rsid w:val="009C682B"/>
    <w:rsid w:val="009D00B3"/>
    <w:rsid w:val="009D0DEE"/>
    <w:rsid w:val="009D3EF2"/>
    <w:rsid w:val="009D550D"/>
    <w:rsid w:val="009E0570"/>
    <w:rsid w:val="009E1635"/>
    <w:rsid w:val="009E51A5"/>
    <w:rsid w:val="009F1257"/>
    <w:rsid w:val="009F1981"/>
    <w:rsid w:val="009F4EEB"/>
    <w:rsid w:val="009F6061"/>
    <w:rsid w:val="009F6517"/>
    <w:rsid w:val="00A05397"/>
    <w:rsid w:val="00A11129"/>
    <w:rsid w:val="00A20EA2"/>
    <w:rsid w:val="00A22F97"/>
    <w:rsid w:val="00A23934"/>
    <w:rsid w:val="00A2513C"/>
    <w:rsid w:val="00A256CB"/>
    <w:rsid w:val="00A31B21"/>
    <w:rsid w:val="00A322B5"/>
    <w:rsid w:val="00A3613F"/>
    <w:rsid w:val="00A37661"/>
    <w:rsid w:val="00A416E3"/>
    <w:rsid w:val="00A45D70"/>
    <w:rsid w:val="00A45E4A"/>
    <w:rsid w:val="00A52837"/>
    <w:rsid w:val="00A60A4E"/>
    <w:rsid w:val="00A60E62"/>
    <w:rsid w:val="00A623BA"/>
    <w:rsid w:val="00A62C7B"/>
    <w:rsid w:val="00A642F7"/>
    <w:rsid w:val="00A65416"/>
    <w:rsid w:val="00A74C67"/>
    <w:rsid w:val="00A76020"/>
    <w:rsid w:val="00A7705F"/>
    <w:rsid w:val="00A83E17"/>
    <w:rsid w:val="00A83E7F"/>
    <w:rsid w:val="00A84760"/>
    <w:rsid w:val="00A84DEA"/>
    <w:rsid w:val="00A85106"/>
    <w:rsid w:val="00A95325"/>
    <w:rsid w:val="00AA4279"/>
    <w:rsid w:val="00AA565E"/>
    <w:rsid w:val="00AA5DB9"/>
    <w:rsid w:val="00AB0050"/>
    <w:rsid w:val="00AB0411"/>
    <w:rsid w:val="00AB1AFE"/>
    <w:rsid w:val="00AB34D7"/>
    <w:rsid w:val="00AB34EC"/>
    <w:rsid w:val="00AB533B"/>
    <w:rsid w:val="00AB54AE"/>
    <w:rsid w:val="00AB5E5D"/>
    <w:rsid w:val="00AB7051"/>
    <w:rsid w:val="00AB76B0"/>
    <w:rsid w:val="00AC16B7"/>
    <w:rsid w:val="00AC72B2"/>
    <w:rsid w:val="00AD26F0"/>
    <w:rsid w:val="00AD4144"/>
    <w:rsid w:val="00AD5601"/>
    <w:rsid w:val="00AD6F84"/>
    <w:rsid w:val="00AE17ED"/>
    <w:rsid w:val="00AE2B24"/>
    <w:rsid w:val="00AE6A03"/>
    <w:rsid w:val="00B07674"/>
    <w:rsid w:val="00B14402"/>
    <w:rsid w:val="00B14937"/>
    <w:rsid w:val="00B245F7"/>
    <w:rsid w:val="00B25700"/>
    <w:rsid w:val="00B26308"/>
    <w:rsid w:val="00B27492"/>
    <w:rsid w:val="00B310B4"/>
    <w:rsid w:val="00B32BEE"/>
    <w:rsid w:val="00B45C42"/>
    <w:rsid w:val="00B4634E"/>
    <w:rsid w:val="00B472C9"/>
    <w:rsid w:val="00B47422"/>
    <w:rsid w:val="00B47B2E"/>
    <w:rsid w:val="00B503CC"/>
    <w:rsid w:val="00B63E40"/>
    <w:rsid w:val="00B666A6"/>
    <w:rsid w:val="00B7123D"/>
    <w:rsid w:val="00B71529"/>
    <w:rsid w:val="00B756BC"/>
    <w:rsid w:val="00B76B49"/>
    <w:rsid w:val="00B815A5"/>
    <w:rsid w:val="00B817E9"/>
    <w:rsid w:val="00B84C38"/>
    <w:rsid w:val="00B90C37"/>
    <w:rsid w:val="00B939F3"/>
    <w:rsid w:val="00B9687D"/>
    <w:rsid w:val="00BA1458"/>
    <w:rsid w:val="00BA5AE3"/>
    <w:rsid w:val="00BA6E66"/>
    <w:rsid w:val="00BA73A5"/>
    <w:rsid w:val="00BC322F"/>
    <w:rsid w:val="00BC539C"/>
    <w:rsid w:val="00BC68E3"/>
    <w:rsid w:val="00BC71B4"/>
    <w:rsid w:val="00BD26AF"/>
    <w:rsid w:val="00BD7470"/>
    <w:rsid w:val="00BE2199"/>
    <w:rsid w:val="00BE22F9"/>
    <w:rsid w:val="00BE41AB"/>
    <w:rsid w:val="00BE44F4"/>
    <w:rsid w:val="00BE5FE8"/>
    <w:rsid w:val="00BE6267"/>
    <w:rsid w:val="00BE705E"/>
    <w:rsid w:val="00BF1849"/>
    <w:rsid w:val="00BF3826"/>
    <w:rsid w:val="00BF5749"/>
    <w:rsid w:val="00BF72D1"/>
    <w:rsid w:val="00C02CB1"/>
    <w:rsid w:val="00C04092"/>
    <w:rsid w:val="00C04798"/>
    <w:rsid w:val="00C10807"/>
    <w:rsid w:val="00C13326"/>
    <w:rsid w:val="00C15755"/>
    <w:rsid w:val="00C1728B"/>
    <w:rsid w:val="00C202E2"/>
    <w:rsid w:val="00C21E65"/>
    <w:rsid w:val="00C22742"/>
    <w:rsid w:val="00C24FF2"/>
    <w:rsid w:val="00C2717D"/>
    <w:rsid w:val="00C30410"/>
    <w:rsid w:val="00C35CB0"/>
    <w:rsid w:val="00C36834"/>
    <w:rsid w:val="00C37475"/>
    <w:rsid w:val="00C42A5C"/>
    <w:rsid w:val="00C43CE6"/>
    <w:rsid w:val="00C535FF"/>
    <w:rsid w:val="00C55CCE"/>
    <w:rsid w:val="00C5644C"/>
    <w:rsid w:val="00C60EBD"/>
    <w:rsid w:val="00C7342B"/>
    <w:rsid w:val="00C77C03"/>
    <w:rsid w:val="00C84D76"/>
    <w:rsid w:val="00CA0ADA"/>
    <w:rsid w:val="00CA2D26"/>
    <w:rsid w:val="00CA484F"/>
    <w:rsid w:val="00CA55B5"/>
    <w:rsid w:val="00CA76D3"/>
    <w:rsid w:val="00CA7D43"/>
    <w:rsid w:val="00CC70B2"/>
    <w:rsid w:val="00CD0144"/>
    <w:rsid w:val="00CD0636"/>
    <w:rsid w:val="00CD4570"/>
    <w:rsid w:val="00CD4E85"/>
    <w:rsid w:val="00CD7563"/>
    <w:rsid w:val="00CE0132"/>
    <w:rsid w:val="00CE19A8"/>
    <w:rsid w:val="00CE1FD5"/>
    <w:rsid w:val="00CE646C"/>
    <w:rsid w:val="00CE6F33"/>
    <w:rsid w:val="00CF1768"/>
    <w:rsid w:val="00CF1D9C"/>
    <w:rsid w:val="00CF236E"/>
    <w:rsid w:val="00CF2C30"/>
    <w:rsid w:val="00CF37F8"/>
    <w:rsid w:val="00CF587D"/>
    <w:rsid w:val="00D0226C"/>
    <w:rsid w:val="00D0498B"/>
    <w:rsid w:val="00D04AA5"/>
    <w:rsid w:val="00D061BB"/>
    <w:rsid w:val="00D07BFE"/>
    <w:rsid w:val="00D12B37"/>
    <w:rsid w:val="00D152C7"/>
    <w:rsid w:val="00D16A5F"/>
    <w:rsid w:val="00D16ECE"/>
    <w:rsid w:val="00D310D3"/>
    <w:rsid w:val="00D32592"/>
    <w:rsid w:val="00D356D7"/>
    <w:rsid w:val="00D36079"/>
    <w:rsid w:val="00D36BCF"/>
    <w:rsid w:val="00D370DC"/>
    <w:rsid w:val="00D419F4"/>
    <w:rsid w:val="00D42CC9"/>
    <w:rsid w:val="00D43057"/>
    <w:rsid w:val="00D46FF9"/>
    <w:rsid w:val="00D5492B"/>
    <w:rsid w:val="00D55129"/>
    <w:rsid w:val="00D65AAA"/>
    <w:rsid w:val="00D705B0"/>
    <w:rsid w:val="00D71467"/>
    <w:rsid w:val="00D7755F"/>
    <w:rsid w:val="00D8021C"/>
    <w:rsid w:val="00D8076B"/>
    <w:rsid w:val="00D8095F"/>
    <w:rsid w:val="00D82B08"/>
    <w:rsid w:val="00D92D30"/>
    <w:rsid w:val="00D94DA3"/>
    <w:rsid w:val="00D96682"/>
    <w:rsid w:val="00DA1B18"/>
    <w:rsid w:val="00DA3C87"/>
    <w:rsid w:val="00DB1BB1"/>
    <w:rsid w:val="00DB2D9E"/>
    <w:rsid w:val="00DB335F"/>
    <w:rsid w:val="00DB753B"/>
    <w:rsid w:val="00DC278B"/>
    <w:rsid w:val="00DC362B"/>
    <w:rsid w:val="00DC53CB"/>
    <w:rsid w:val="00DC5EC4"/>
    <w:rsid w:val="00DC67CA"/>
    <w:rsid w:val="00DD4E61"/>
    <w:rsid w:val="00DD5044"/>
    <w:rsid w:val="00DE0AC7"/>
    <w:rsid w:val="00DE338D"/>
    <w:rsid w:val="00DE4244"/>
    <w:rsid w:val="00DE6DD3"/>
    <w:rsid w:val="00E02E3B"/>
    <w:rsid w:val="00E068D5"/>
    <w:rsid w:val="00E16451"/>
    <w:rsid w:val="00E16D47"/>
    <w:rsid w:val="00E2278E"/>
    <w:rsid w:val="00E31276"/>
    <w:rsid w:val="00E3138B"/>
    <w:rsid w:val="00E33B88"/>
    <w:rsid w:val="00E41F95"/>
    <w:rsid w:val="00E5174B"/>
    <w:rsid w:val="00E53831"/>
    <w:rsid w:val="00E5686E"/>
    <w:rsid w:val="00E57E5A"/>
    <w:rsid w:val="00E60AAD"/>
    <w:rsid w:val="00E614F2"/>
    <w:rsid w:val="00E62254"/>
    <w:rsid w:val="00E653F4"/>
    <w:rsid w:val="00E65D37"/>
    <w:rsid w:val="00E705D7"/>
    <w:rsid w:val="00E731C3"/>
    <w:rsid w:val="00E73C8A"/>
    <w:rsid w:val="00E76340"/>
    <w:rsid w:val="00E80A8B"/>
    <w:rsid w:val="00E86186"/>
    <w:rsid w:val="00E90C84"/>
    <w:rsid w:val="00E9109B"/>
    <w:rsid w:val="00E9448F"/>
    <w:rsid w:val="00E950F6"/>
    <w:rsid w:val="00EA2F39"/>
    <w:rsid w:val="00EA618F"/>
    <w:rsid w:val="00EB03A4"/>
    <w:rsid w:val="00EB31FF"/>
    <w:rsid w:val="00EB6287"/>
    <w:rsid w:val="00EC024B"/>
    <w:rsid w:val="00EC27D9"/>
    <w:rsid w:val="00EC2B6F"/>
    <w:rsid w:val="00EC54A5"/>
    <w:rsid w:val="00EC597E"/>
    <w:rsid w:val="00EC68FC"/>
    <w:rsid w:val="00EC7986"/>
    <w:rsid w:val="00ED176A"/>
    <w:rsid w:val="00ED343C"/>
    <w:rsid w:val="00ED3505"/>
    <w:rsid w:val="00ED37AE"/>
    <w:rsid w:val="00EE0788"/>
    <w:rsid w:val="00EE2C52"/>
    <w:rsid w:val="00EE7091"/>
    <w:rsid w:val="00EF10BD"/>
    <w:rsid w:val="00EF1107"/>
    <w:rsid w:val="00EF33CE"/>
    <w:rsid w:val="00F12565"/>
    <w:rsid w:val="00F149E4"/>
    <w:rsid w:val="00F178C2"/>
    <w:rsid w:val="00F22216"/>
    <w:rsid w:val="00F243F9"/>
    <w:rsid w:val="00F24596"/>
    <w:rsid w:val="00F24A20"/>
    <w:rsid w:val="00F31496"/>
    <w:rsid w:val="00F32707"/>
    <w:rsid w:val="00F41439"/>
    <w:rsid w:val="00F41A64"/>
    <w:rsid w:val="00F438F8"/>
    <w:rsid w:val="00F44325"/>
    <w:rsid w:val="00F47F56"/>
    <w:rsid w:val="00F50199"/>
    <w:rsid w:val="00F50488"/>
    <w:rsid w:val="00F52864"/>
    <w:rsid w:val="00F622D5"/>
    <w:rsid w:val="00F737E3"/>
    <w:rsid w:val="00F77140"/>
    <w:rsid w:val="00F81AB2"/>
    <w:rsid w:val="00F87BB4"/>
    <w:rsid w:val="00F923A4"/>
    <w:rsid w:val="00F93D9D"/>
    <w:rsid w:val="00F94272"/>
    <w:rsid w:val="00FA1448"/>
    <w:rsid w:val="00FA1DC2"/>
    <w:rsid w:val="00FA342F"/>
    <w:rsid w:val="00FA49C2"/>
    <w:rsid w:val="00FB094A"/>
    <w:rsid w:val="00FB52BA"/>
    <w:rsid w:val="00FB7479"/>
    <w:rsid w:val="00FC0AD1"/>
    <w:rsid w:val="00FC1667"/>
    <w:rsid w:val="00FC16EB"/>
    <w:rsid w:val="00FC1BC8"/>
    <w:rsid w:val="00FC4397"/>
    <w:rsid w:val="00FC73B1"/>
    <w:rsid w:val="00FD25E5"/>
    <w:rsid w:val="00FD348E"/>
    <w:rsid w:val="00FD3602"/>
    <w:rsid w:val="00FD6347"/>
    <w:rsid w:val="00FE1930"/>
    <w:rsid w:val="00FE1E8E"/>
    <w:rsid w:val="00FE6032"/>
    <w:rsid w:val="00FF04FD"/>
    <w:rsid w:val="00FF33E9"/>
    <w:rsid w:val="00FF47D2"/>
    <w:rsid w:val="00FF618F"/>
    <w:rsid w:val="0FD375AE"/>
    <w:rsid w:val="186B896E"/>
    <w:rsid w:val="3F493A95"/>
    <w:rsid w:val="65E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"/>
    </o:shapedefaults>
    <o:shapelayout v:ext="edit">
      <o:idmap v:ext="edit" data="1"/>
    </o:shapelayout>
  </w:shapeDefaults>
  <w:decimalSymbol w:val="."/>
  <w:listSeparator w:val=","/>
  <w14:docId w14:val="15BB89D9"/>
  <w15:chartTrackingRefBased/>
  <w15:docId w15:val="{FD50B3F4-4319-4B0A-B503-FF384EB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2EE0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Header"/>
    <w:next w:val="Normal"/>
    <w:link w:val="Heading1Char"/>
    <w:qFormat/>
    <w:rsid w:val="00EF10BD"/>
    <w:pPr>
      <w:keepNext/>
      <w:outlineLvl w:val="0"/>
    </w:pPr>
    <w:rPr>
      <w:b/>
      <w:bCs/>
      <w:color w:val="003399"/>
      <w:sz w:val="48"/>
    </w:rPr>
  </w:style>
  <w:style w:type="paragraph" w:styleId="Heading2">
    <w:name w:val="heading 2"/>
    <w:basedOn w:val="Normal"/>
    <w:next w:val="Normal"/>
    <w:qFormat/>
    <w:rsid w:val="00EF10BD"/>
    <w:pPr>
      <w:keepNext/>
      <w:outlineLvl w:val="1"/>
    </w:pPr>
    <w:rPr>
      <w:b/>
      <w:bCs/>
      <w:color w:val="003399"/>
      <w:sz w:val="3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74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qFormat/>
    <w:rsid w:val="00D06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1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4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49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49DD"/>
  </w:style>
  <w:style w:type="character" w:styleId="Hyperlink">
    <w:name w:val="Hyperlink"/>
    <w:rsid w:val="00996031"/>
    <w:rPr>
      <w:color w:val="0000FF"/>
      <w:u w:val="single"/>
    </w:rPr>
  </w:style>
  <w:style w:type="paragraph" w:customStyle="1" w:styleId="TableText">
    <w:name w:val="Table Text"/>
    <w:basedOn w:val="Normal"/>
    <w:rsid w:val="00D061BB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</w:pPr>
    <w:rPr>
      <w:sz w:val="22"/>
      <w:szCs w:val="22"/>
      <w:lang w:val="en-US"/>
    </w:rPr>
  </w:style>
  <w:style w:type="table" w:styleId="TableGrid">
    <w:name w:val="Table Grid"/>
    <w:basedOn w:val="TableNormal"/>
    <w:rsid w:val="00B6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B63E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63E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356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E357A"/>
    <w:pPr>
      <w:ind w:left="720"/>
    </w:pPr>
  </w:style>
  <w:style w:type="paragraph" w:customStyle="1" w:styleId="Style1">
    <w:name w:val="Style1"/>
    <w:basedOn w:val="Heading1"/>
    <w:link w:val="Style1Char"/>
    <w:qFormat/>
    <w:rsid w:val="00FC4397"/>
    <w:rPr>
      <w:sz w:val="24"/>
    </w:rPr>
  </w:style>
  <w:style w:type="character" w:customStyle="1" w:styleId="HeaderChar">
    <w:name w:val="Header Char"/>
    <w:link w:val="Header"/>
    <w:rsid w:val="009C32C3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EF10BD"/>
    <w:rPr>
      <w:rFonts w:ascii="Arial" w:hAnsi="Arial"/>
      <w:b/>
      <w:bCs/>
      <w:color w:val="003399"/>
      <w:sz w:val="48"/>
      <w:szCs w:val="24"/>
      <w:lang w:eastAsia="en-US"/>
    </w:rPr>
  </w:style>
  <w:style w:type="character" w:customStyle="1" w:styleId="Style1Char">
    <w:name w:val="Style1 Char"/>
    <w:link w:val="Style1"/>
    <w:rsid w:val="00FC4397"/>
    <w:rPr>
      <w:rFonts w:ascii="Arial" w:hAnsi="Arial"/>
      <w:b/>
      <w:bCs/>
      <w:color w:val="003399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6919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1960"/>
    <w:rPr>
      <w:rFonts w:ascii="Arial" w:hAnsi="Arial"/>
      <w:color w:val="000000" w:themeColor="text1"/>
      <w:lang w:eastAsia="en-US"/>
    </w:rPr>
  </w:style>
  <w:style w:type="character" w:styleId="FootnoteReference">
    <w:name w:val="footnote reference"/>
    <w:basedOn w:val="DefaultParagraphFont"/>
    <w:rsid w:val="00691960"/>
    <w:rPr>
      <w:vertAlign w:val="superscript"/>
    </w:rPr>
  </w:style>
  <w:style w:type="character" w:styleId="Emphasis">
    <w:name w:val="Emphasis"/>
    <w:basedOn w:val="DefaultParagraphFont"/>
    <w:qFormat/>
    <w:rsid w:val="0077266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BD74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BD747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D7DDA"/>
    <w:rPr>
      <w:rFonts w:ascii="Arial" w:hAnsi="Arial"/>
      <w:color w:val="000000" w:themeColor="text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17E04"/>
    <w:pPr>
      <w:spacing w:before="100" w:beforeAutospacing="1" w:after="100" w:afterAutospacing="1"/>
    </w:pPr>
    <w:rPr>
      <w:rFonts w:ascii="Times New Roman" w:hAnsi="Times New Roman"/>
      <w:color w:val="auto"/>
      <w:lang w:eastAsia="en-AU"/>
    </w:rPr>
  </w:style>
  <w:style w:type="character" w:styleId="Strong">
    <w:name w:val="Strong"/>
    <w:basedOn w:val="DefaultParagraphFont"/>
    <w:uiPriority w:val="22"/>
    <w:qFormat/>
    <w:rsid w:val="002A7644"/>
    <w:rPr>
      <w:b/>
      <w:bCs/>
    </w:rPr>
  </w:style>
  <w:style w:type="character" w:styleId="CommentReference">
    <w:name w:val="annotation reference"/>
    <w:basedOn w:val="DefaultParagraphFont"/>
    <w:rsid w:val="006052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2F7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2F7"/>
    <w:rPr>
      <w:rFonts w:ascii="Arial" w:hAnsi="Arial"/>
      <w:b/>
      <w:bCs/>
      <w:color w:val="000000" w:themeColor="text1"/>
      <w:lang w:eastAsia="en-US"/>
    </w:rPr>
  </w:style>
  <w:style w:type="character" w:customStyle="1" w:styleId="apple-converted-space">
    <w:name w:val="apple-converted-space"/>
    <w:basedOn w:val="DefaultParagraphFont"/>
    <w:rsid w:val="001E240C"/>
  </w:style>
  <w:style w:type="character" w:styleId="UnresolvedMention">
    <w:name w:val="Unresolved Mention"/>
    <w:basedOn w:val="DefaultParagraphFont"/>
    <w:uiPriority w:val="99"/>
    <w:semiHidden/>
    <w:unhideWhenUsed/>
    <w:rsid w:val="00DC362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B7051"/>
    <w:pPr>
      <w:widowControl w:val="0"/>
      <w:autoSpaceDE w:val="0"/>
      <w:autoSpaceDN w:val="0"/>
    </w:pPr>
    <w:rPr>
      <w:rFonts w:eastAsia="Arial" w:cs="Arial"/>
      <w:color w:val="auto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B7051"/>
    <w:rPr>
      <w:rFonts w:ascii="Arial" w:eastAsia="Arial" w:hAnsi="Arial" w:cs="Arial"/>
      <w:sz w:val="24"/>
      <w:szCs w:val="24"/>
      <w:lang w:bidi="en-AU"/>
    </w:rPr>
  </w:style>
  <w:style w:type="table" w:styleId="ListTable2-Accent3">
    <w:name w:val="List Table 2 Accent 3"/>
    <w:basedOn w:val="TableNormal"/>
    <w:uiPriority w:val="47"/>
    <w:rsid w:val="00FD36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curepoint.nsw.gov.au/policy-and-reform/agencies-covered-epp-direction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7503BC5E52344AEF5021AF2594228" ma:contentTypeVersion="2" ma:contentTypeDescription="Create a new document." ma:contentTypeScope="" ma:versionID="f456ca62a4453458f3f2d374ed70cfa2">
  <xsd:schema xmlns:xsd="http://www.w3.org/2001/XMLSchema" xmlns:xs="http://www.w3.org/2001/XMLSchema" xmlns:p="http://schemas.microsoft.com/office/2006/metadata/properties" xmlns:ns2="3ef975af-cd62-4de0-9ca5-538ee1d5faae" targetNamespace="http://schemas.microsoft.com/office/2006/metadata/properties" ma:root="true" ma:fieldsID="a7aaed10e5a7bc6f119d30215c67fa70" ns2:_="">
    <xsd:import namespace="3ef975af-cd62-4de0-9ca5-538ee1d5f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75af-cd62-4de0-9ca5-538ee1d5f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F62D-FBCA-4C87-9563-7AF442EDAA0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f975af-cd62-4de0-9ca5-538ee1d5faa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5480D7-A8B7-41DE-B446-F5D715EF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975af-cd62-4de0-9ca5-538ee1d5f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FA0BB-5949-48F7-9830-F34D8BEAB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A4131-B996-4AFD-9143-D3C5C477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1035</Words>
  <Characters>7031</Characters>
  <Application>Microsoft Office Word</Application>
  <DocSecurity>0</DocSecurity>
  <Lines>58</Lines>
  <Paragraphs>16</Paragraphs>
  <ScaleCrop>false</ScaleCrop>
  <Company>Unknown Organization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QRG APP Initiate reporting</dc:title>
  <dc:subject/>
  <dc:creator>Melinda Dagg</dc:creator>
  <cp:keywords/>
  <dc:description/>
  <cp:lastModifiedBy>Melinda Dagg</cp:lastModifiedBy>
  <cp:revision>39</cp:revision>
  <cp:lastPrinted>2018-05-30T05:04:00Z</cp:lastPrinted>
  <dcterms:created xsi:type="dcterms:W3CDTF">2019-09-12T04:17:00Z</dcterms:created>
  <dcterms:modified xsi:type="dcterms:W3CDTF">2019-10-09T23:19:00Z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0x010100BDF7503BC5E52344AEF5021AF2594228</vt:lpwstr>
  </property>
</Properties>
</file>