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C7E95" w14:textId="77777777" w:rsidR="00FE3150" w:rsidRDefault="00BD5B4B" w:rsidP="00E731A0">
      <w:pPr>
        <w:pStyle w:val="TitleTintBox"/>
      </w:pPr>
      <w:r>
        <w:rPr>
          <w:noProof/>
        </w:rPr>
        <mc:AlternateContent>
          <mc:Choice Requires="wps">
            <w:drawing>
              <wp:inline distT="0" distB="0" distL="0" distR="0" wp14:anchorId="3F7EF0D1" wp14:editId="03E95360">
                <wp:extent cx="7559675" cy="1008000"/>
                <wp:effectExtent l="0" t="0" r="3175" b="1905"/>
                <wp:docPr id="217" name="Text Box 2" descr="Decorative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008000"/>
                        </a:xfrm>
                        <a:prstGeom prst="rect">
                          <a:avLst/>
                        </a:prstGeom>
                        <a:solidFill>
                          <a:schemeClr val="accent2"/>
                        </a:solidFill>
                        <a:ln w="9525">
                          <a:noFill/>
                          <a:miter lim="800000"/>
                          <a:headEnd/>
                          <a:tailEnd/>
                        </a:ln>
                      </wps:spPr>
                      <wps:txbx>
                        <w:txbxContent>
                          <w:p w14:paraId="5BA11520" w14:textId="1815C936" w:rsidR="00BD5B4B" w:rsidRPr="00F3338E" w:rsidRDefault="00FC6710" w:rsidP="00F3338E">
                            <w:pPr>
                              <w:pStyle w:val="DocumentType"/>
                            </w:pPr>
                            <w:r>
                              <w:t>Local market testing</w:t>
                            </w:r>
                          </w:p>
                          <w:p w14:paraId="4DB4512E" w14:textId="706DC831" w:rsidR="00BD5B4B" w:rsidRPr="00F3338E" w:rsidRDefault="00D4439F" w:rsidP="00F3338E">
                            <w:pPr>
                              <w:pStyle w:val="Heading1"/>
                            </w:pPr>
                            <w:sdt>
                              <w:sdtPr>
                                <w:alias w:val="Title"/>
                                <w:tag w:val=""/>
                                <w:id w:val="-1833356382"/>
                                <w:lock w:val="sdtLocked"/>
                                <w:placeholder>
                                  <w:docPart w:val="CDDB809511C246158A4563B51B9DFD40"/>
                                </w:placeholder>
                                <w:dataBinding w:prefixMappings="xmlns:ns0='http://purl.org/dc/elements/1.1/' xmlns:ns1='http://schemas.openxmlformats.org/package/2006/metadata/core-properties' " w:xpath="/ns1:coreProperties[1]/ns0:title[1]" w:storeItemID="{6C3C8BC8-F283-45AE-878A-BAB7291924A1}"/>
                                <w:text/>
                              </w:sdtPr>
                              <w:sdtEndPr/>
                              <w:sdtContent>
                                <w:r w:rsidR="00FC6710" w:rsidRPr="00FC6710">
                                  <w:t>Guidance on increasing opportunities for local suppliers to supply to government</w:t>
                                </w:r>
                              </w:sdtContent>
                            </w:sdt>
                          </w:p>
                        </w:txbxContent>
                      </wps:txbx>
                      <wps:bodyPr rot="0" vert="horz" wrap="square" lIns="540000" tIns="0" rIns="360000" bIns="0" anchor="ctr" anchorCtr="0">
                        <a:noAutofit/>
                      </wps:bodyPr>
                    </wps:wsp>
                  </a:graphicData>
                </a:graphic>
              </wp:inline>
            </w:drawing>
          </mc:Choice>
          <mc:Fallback>
            <w:pict>
              <v:shapetype w14:anchorId="3F7EF0D1" id="_x0000_t202" coordsize="21600,21600" o:spt="202" path="m,l,21600r21600,l21600,xe">
                <v:stroke joinstyle="miter"/>
                <v:path gradientshapeok="t" o:connecttype="rect"/>
              </v:shapetype>
              <v:shape id="Text Box 2" o:spid="_x0000_s1026" type="#_x0000_t202" alt="Decorative background" style="width:595.25pt;height:7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TEAIAAPYDAAAOAAAAZHJzL2Uyb0RvYy54bWysU9tuGyEQfa/Uf0C817t2u06y8jpKnaaq&#10;lF6ktB8wZlkvKjAUsHfTr8/A2k6VvlV9QQwMZ86cOayuR6PZQfqg0DZ8Pis5k1Zgq+yu4T++3725&#10;5CxEsC1otLLhjzLw6/XrV6vB1XKBPepWekYgNtSDa3gfo6uLIoheGggzdNLSZYfeQKTQ74rWw0Do&#10;RheLslwWA/rWeRQyBDq9nS75OuN3nRTxa9cFGZluOHGLefV53aa1WK+g3nlwvRJHGvAPLAwoS0XP&#10;ULcQge29+gvKKOExYBdnAk2BXaeEzD1QN/PyRTcPPTiZeyFxgjvLFP4frPhyeHDfPIvjexxpgLmJ&#10;4O5R/AzM4qYHu5M33uPQS2ip8DxJVgwu1MenSepQhwSyHT5jS0OGfcQMNHbeJFWoT0boNIDHs+hy&#10;jEzQ4UVVXS0vKs4E3c3L8rIs81gKqE/PnQ/xo0TD0qbhnqaa4eFwH2KiA/UpJVULqFV7p7TOQXKS&#10;3GjPDkAeACGkjYvcxItMbdnQ8KtqUWVwiwki+8OoSCbVyjQ8sZv4QZ0U+WDbnBJB6WlPZLQ9SpRU&#10;mfSJ43akxCTVFttHEsvjZEb6PLTp0f/mbCAjNjz82oOXnOlPlgSv3uWKLOaIJPR583Y5HW9Px2AF&#10;gTRcRM/ZFGxidnqSweINDaVTWa5nFkeeZK6s4vEjJPf+Gees5++6fgIAAP//AwBQSwMEFAAGAAgA&#10;AAAhAF6OKgfbAAAABgEAAA8AAABkcnMvZG93bnJldi54bWxMj0FPwzAMhe9I+w+RJ3FBLB1St1Ga&#10;ToDEHQYcevMakxYap2qyLvDrybiMi/WsZ733udxG24uJRt85VrBcZCCIG6c7NgreXp+uNyB8QNbY&#10;OyYF3+RhW80uSiy0O/ILTbtgRAphX6CCNoShkNI3LVn0CzcQJ+/DjRZDWkcj9YjHFG57eZNlK2mx&#10;49TQ4kCPLTVfu4NVEN9NvZ7qn6vpwdcm4nPzaXKv1OU83t+BCBTD+RhO+AkdqsS0dwfWXvQK0iPh&#10;b5685W2Wg9gnlW/WIKtS/sevfgEAAP//AwBQSwECLQAUAAYACAAAACEAtoM4kv4AAADhAQAAEwAA&#10;AAAAAAAAAAAAAAAAAAAAW0NvbnRlbnRfVHlwZXNdLnhtbFBLAQItABQABgAIAAAAIQA4/SH/1gAA&#10;AJQBAAALAAAAAAAAAAAAAAAAAC8BAABfcmVscy8ucmVsc1BLAQItABQABgAIAAAAIQA+Lw5TEAIA&#10;APYDAAAOAAAAAAAAAAAAAAAAAC4CAABkcnMvZTJvRG9jLnhtbFBLAQItABQABgAIAAAAIQBejioH&#10;2wAAAAYBAAAPAAAAAAAAAAAAAAAAAGoEAABkcnMvZG93bnJldi54bWxQSwUGAAAAAAQABADzAAAA&#10;cgUAAAAA&#10;" fillcolor="#cbedfd [3205]" stroked="f">
                <v:textbox inset="15mm,0,10mm,0">
                  <w:txbxContent>
                    <w:p w14:paraId="5BA11520" w14:textId="1815C936" w:rsidR="00BD5B4B" w:rsidRPr="00F3338E" w:rsidRDefault="00FC6710" w:rsidP="00F3338E">
                      <w:pPr>
                        <w:pStyle w:val="DocumentType"/>
                      </w:pPr>
                      <w:r>
                        <w:t>Local market testing</w:t>
                      </w:r>
                    </w:p>
                    <w:p w14:paraId="4DB4512E" w14:textId="706DC831" w:rsidR="00BD5B4B" w:rsidRPr="00F3338E" w:rsidRDefault="00000000" w:rsidP="00F3338E">
                      <w:pPr>
                        <w:pStyle w:val="Heading1"/>
                      </w:pPr>
                      <w:sdt>
                        <w:sdtPr>
                          <w:alias w:val="Title"/>
                          <w:tag w:val=""/>
                          <w:id w:val="-1833356382"/>
                          <w:lock w:val="sdtLocked"/>
                          <w:placeholder>
                            <w:docPart w:val="CDDB809511C246158A4563B51B9DFD40"/>
                          </w:placeholder>
                          <w:dataBinding w:prefixMappings="xmlns:ns0='http://purl.org/dc/elements/1.1/' xmlns:ns1='http://schemas.openxmlformats.org/package/2006/metadata/core-properties' " w:xpath="/ns1:coreProperties[1]/ns0:title[1]" w:storeItemID="{6C3C8BC8-F283-45AE-878A-BAB7291924A1}"/>
                          <w:text/>
                        </w:sdtPr>
                        <w:sdtContent>
                          <w:r w:rsidR="00FC6710" w:rsidRPr="00FC6710">
                            <w:t>Guidance on increasing opportunities for local suppliers to supply to government</w:t>
                          </w:r>
                        </w:sdtContent>
                      </w:sdt>
                    </w:p>
                  </w:txbxContent>
                </v:textbox>
                <w10:anchorlock/>
              </v:shape>
            </w:pict>
          </mc:Fallback>
        </mc:AlternateContent>
      </w:r>
    </w:p>
    <w:p w14:paraId="026CCFF7" w14:textId="056115E7" w:rsidR="00FC6710" w:rsidRDefault="00FC6710" w:rsidP="00FC6710">
      <w:pPr>
        <w:pStyle w:val="ReleasedDate"/>
      </w:pPr>
      <w:r>
        <w:t>30 September 2024</w:t>
      </w:r>
    </w:p>
    <w:p w14:paraId="6A9AE869" w14:textId="2748F2D6" w:rsidR="00FC6710" w:rsidRPr="00FC6710" w:rsidRDefault="00FC6710" w:rsidP="00FC6710">
      <w:pPr>
        <w:pStyle w:val="BodyText"/>
        <w:rPr>
          <w:sz w:val="28"/>
          <w:szCs w:val="28"/>
        </w:rPr>
      </w:pPr>
      <w:r w:rsidRPr="00FC6710">
        <w:rPr>
          <w:sz w:val="28"/>
          <w:szCs w:val="28"/>
        </w:rPr>
        <w:t xml:space="preserve">Learn about the guidelines for NSW Government agencies on engaging local suppliers in procurement processes and the requirements for local market testing </w:t>
      </w:r>
    </w:p>
    <w:p w14:paraId="53D2F37D" w14:textId="73C6A212" w:rsidR="00FC6710" w:rsidRPr="00D970B7" w:rsidRDefault="00FC6710" w:rsidP="000A3BA2">
      <w:pPr>
        <w:pStyle w:val="Heading2"/>
        <w:numPr>
          <w:ilvl w:val="0"/>
          <w:numId w:val="0"/>
        </w:numPr>
      </w:pPr>
      <w:bookmarkStart w:id="0" w:name="_Toc178168321"/>
      <w:bookmarkStart w:id="1" w:name="_Toc178600268"/>
      <w:r>
        <w:t>Contents</w:t>
      </w:r>
      <w:bookmarkEnd w:id="0"/>
      <w:bookmarkEnd w:id="1"/>
    </w:p>
    <w:p w14:paraId="1B170B9C" w14:textId="161A9465" w:rsidR="0043042C" w:rsidRDefault="00FC6710" w:rsidP="009B382A">
      <w:pPr>
        <w:pStyle w:val="TOC2"/>
        <w:rPr>
          <w:rFonts w:eastAsiaTheme="minorEastAsia"/>
          <w:sz w:val="24"/>
          <w:szCs w:val="24"/>
          <w:lang w:eastAsia="en-AU"/>
        </w:rPr>
      </w:pPr>
      <w:r>
        <w:rPr>
          <w:rFonts w:ascii="Arial" w:hAnsi="Arial" w:cs="Arial"/>
          <w:sz w:val="28"/>
          <w:szCs w:val="28"/>
        </w:rPr>
        <w:fldChar w:fldCharType="begin"/>
      </w:r>
      <w:r>
        <w:rPr>
          <w:rFonts w:ascii="Arial" w:hAnsi="Arial" w:cs="Arial"/>
          <w:sz w:val="28"/>
          <w:szCs w:val="28"/>
        </w:rPr>
        <w:instrText xml:space="preserve"> TOC \o "2-2" \h \z </w:instrText>
      </w:r>
      <w:r>
        <w:rPr>
          <w:rFonts w:ascii="Arial" w:hAnsi="Arial" w:cs="Arial"/>
          <w:sz w:val="28"/>
          <w:szCs w:val="28"/>
        </w:rPr>
        <w:fldChar w:fldCharType="separate"/>
      </w:r>
      <w:hyperlink w:anchor="_Toc178600268" w:history="1">
        <w:r w:rsidR="0043042C" w:rsidRPr="000411D5">
          <w:rPr>
            <w:rStyle w:val="Hyperlink"/>
          </w:rPr>
          <w:t>Contents</w:t>
        </w:r>
        <w:r w:rsidR="0043042C">
          <w:rPr>
            <w:webHidden/>
          </w:rPr>
          <w:tab/>
        </w:r>
        <w:r w:rsidR="0043042C">
          <w:rPr>
            <w:webHidden/>
          </w:rPr>
          <w:fldChar w:fldCharType="begin"/>
        </w:r>
        <w:r w:rsidR="0043042C">
          <w:rPr>
            <w:webHidden/>
          </w:rPr>
          <w:instrText xml:space="preserve"> PAGEREF _Toc178600268 \h </w:instrText>
        </w:r>
        <w:r w:rsidR="0043042C">
          <w:rPr>
            <w:webHidden/>
          </w:rPr>
        </w:r>
        <w:r w:rsidR="0043042C">
          <w:rPr>
            <w:webHidden/>
          </w:rPr>
          <w:fldChar w:fldCharType="separate"/>
        </w:r>
        <w:r w:rsidR="0043042C">
          <w:rPr>
            <w:webHidden/>
          </w:rPr>
          <w:t>1</w:t>
        </w:r>
        <w:r w:rsidR="0043042C">
          <w:rPr>
            <w:webHidden/>
          </w:rPr>
          <w:fldChar w:fldCharType="end"/>
        </w:r>
      </w:hyperlink>
    </w:p>
    <w:p w14:paraId="5E2524AE" w14:textId="1E5B66C0" w:rsidR="0043042C" w:rsidRPr="000A3BA2" w:rsidRDefault="0043042C" w:rsidP="009B382A">
      <w:pPr>
        <w:pStyle w:val="TOC2"/>
      </w:pPr>
      <w:hyperlink w:anchor="_Toc178600269" w:history="1">
        <w:r w:rsidRPr="000A3BA2">
          <w:rPr>
            <w:rStyle w:val="Hyperlink"/>
            <w:color w:val="auto"/>
            <w:u w:val="none"/>
          </w:rPr>
          <w:t>1.</w:t>
        </w:r>
        <w:r w:rsidRPr="000A3BA2">
          <w:tab/>
        </w:r>
        <w:r w:rsidRPr="000A3BA2">
          <w:rPr>
            <w:rStyle w:val="Hyperlink"/>
            <w:color w:val="auto"/>
            <w:u w:val="none"/>
          </w:rPr>
          <w:t>What you need to know</w:t>
        </w:r>
        <w:r w:rsidRPr="009B382A">
          <w:rPr>
            <w:webHidden/>
          </w:rPr>
          <w:tab/>
        </w:r>
        <w:r w:rsidRPr="009B382A">
          <w:rPr>
            <w:webHidden/>
          </w:rPr>
          <w:fldChar w:fldCharType="begin"/>
        </w:r>
        <w:r w:rsidRPr="009B382A">
          <w:rPr>
            <w:webHidden/>
          </w:rPr>
          <w:instrText xml:space="preserve"> PAGEREF _Toc178600269 \h </w:instrText>
        </w:r>
        <w:r w:rsidRPr="009B382A">
          <w:rPr>
            <w:webHidden/>
          </w:rPr>
        </w:r>
        <w:r w:rsidRPr="009B382A">
          <w:rPr>
            <w:webHidden/>
          </w:rPr>
          <w:fldChar w:fldCharType="separate"/>
        </w:r>
        <w:r w:rsidRPr="009B382A">
          <w:rPr>
            <w:webHidden/>
          </w:rPr>
          <w:t>1</w:t>
        </w:r>
        <w:r w:rsidRPr="009B382A">
          <w:rPr>
            <w:webHidden/>
          </w:rPr>
          <w:fldChar w:fldCharType="end"/>
        </w:r>
      </w:hyperlink>
    </w:p>
    <w:p w14:paraId="51FD0C37" w14:textId="59A5B9EB" w:rsidR="0043042C" w:rsidRPr="000A3BA2" w:rsidRDefault="0043042C" w:rsidP="009B382A">
      <w:pPr>
        <w:pStyle w:val="TOC2"/>
      </w:pPr>
      <w:hyperlink w:anchor="_Toc178600270" w:history="1">
        <w:r w:rsidRPr="000A3BA2">
          <w:rPr>
            <w:rStyle w:val="Hyperlink"/>
            <w:color w:val="auto"/>
            <w:u w:val="none"/>
          </w:rPr>
          <w:t>2.</w:t>
        </w:r>
        <w:r w:rsidRPr="000A3BA2">
          <w:tab/>
        </w:r>
        <w:r w:rsidRPr="000A3BA2">
          <w:rPr>
            <w:rStyle w:val="Hyperlink"/>
            <w:color w:val="auto"/>
            <w:u w:val="none"/>
          </w:rPr>
          <w:t>Procurement Board Direction 2024-02</w:t>
        </w:r>
        <w:r w:rsidRPr="009B382A">
          <w:rPr>
            <w:webHidden/>
          </w:rPr>
          <w:tab/>
        </w:r>
        <w:r w:rsidRPr="009B382A">
          <w:rPr>
            <w:webHidden/>
          </w:rPr>
          <w:fldChar w:fldCharType="begin"/>
        </w:r>
        <w:r w:rsidRPr="009B382A">
          <w:rPr>
            <w:webHidden/>
          </w:rPr>
          <w:instrText xml:space="preserve"> PAGEREF _Toc178600270 \h </w:instrText>
        </w:r>
        <w:r w:rsidRPr="009B382A">
          <w:rPr>
            <w:webHidden/>
          </w:rPr>
        </w:r>
        <w:r w:rsidRPr="009B382A">
          <w:rPr>
            <w:webHidden/>
          </w:rPr>
          <w:fldChar w:fldCharType="separate"/>
        </w:r>
        <w:r w:rsidRPr="009B382A">
          <w:rPr>
            <w:webHidden/>
          </w:rPr>
          <w:t>2</w:t>
        </w:r>
        <w:r w:rsidRPr="009B382A">
          <w:rPr>
            <w:webHidden/>
          </w:rPr>
          <w:fldChar w:fldCharType="end"/>
        </w:r>
      </w:hyperlink>
    </w:p>
    <w:p w14:paraId="73CA6E1F" w14:textId="0EEA8EBC" w:rsidR="0043042C" w:rsidRPr="000A3BA2" w:rsidRDefault="0043042C" w:rsidP="009B382A">
      <w:pPr>
        <w:pStyle w:val="TOC2"/>
      </w:pPr>
      <w:hyperlink w:anchor="_Toc178600271" w:history="1">
        <w:r w:rsidRPr="000A3BA2">
          <w:rPr>
            <w:rStyle w:val="Hyperlink"/>
            <w:color w:val="auto"/>
            <w:u w:val="none"/>
          </w:rPr>
          <w:t>3.</w:t>
        </w:r>
        <w:r w:rsidRPr="000A3BA2">
          <w:tab/>
        </w:r>
        <w:r w:rsidRPr="000A3BA2">
          <w:rPr>
            <w:rStyle w:val="Hyperlink"/>
            <w:color w:val="auto"/>
            <w:u w:val="none"/>
          </w:rPr>
          <w:t>Understanding applicable procurements</w:t>
        </w:r>
        <w:r w:rsidRPr="009B382A">
          <w:rPr>
            <w:webHidden/>
          </w:rPr>
          <w:tab/>
        </w:r>
        <w:r w:rsidRPr="009B382A">
          <w:rPr>
            <w:webHidden/>
          </w:rPr>
          <w:fldChar w:fldCharType="begin"/>
        </w:r>
        <w:r w:rsidRPr="009B382A">
          <w:rPr>
            <w:webHidden/>
          </w:rPr>
          <w:instrText xml:space="preserve"> PAGEREF _Toc178600271 \h </w:instrText>
        </w:r>
        <w:r w:rsidRPr="009B382A">
          <w:rPr>
            <w:webHidden/>
          </w:rPr>
        </w:r>
        <w:r w:rsidRPr="009B382A">
          <w:rPr>
            <w:webHidden/>
          </w:rPr>
          <w:fldChar w:fldCharType="separate"/>
        </w:r>
        <w:r w:rsidRPr="009B382A">
          <w:rPr>
            <w:webHidden/>
          </w:rPr>
          <w:t>2</w:t>
        </w:r>
        <w:r w:rsidRPr="009B382A">
          <w:rPr>
            <w:webHidden/>
          </w:rPr>
          <w:fldChar w:fldCharType="end"/>
        </w:r>
      </w:hyperlink>
    </w:p>
    <w:p w14:paraId="37EF9ACA" w14:textId="5FD35F8D" w:rsidR="0043042C" w:rsidRPr="000A3BA2" w:rsidRDefault="0043042C" w:rsidP="009B382A">
      <w:pPr>
        <w:pStyle w:val="TOC2"/>
      </w:pPr>
      <w:hyperlink w:anchor="_Toc178600272" w:history="1">
        <w:r w:rsidRPr="000A3BA2">
          <w:rPr>
            <w:rStyle w:val="Hyperlink"/>
            <w:color w:val="auto"/>
            <w:u w:val="none"/>
          </w:rPr>
          <w:t>4.</w:t>
        </w:r>
        <w:r w:rsidRPr="000A3BA2">
          <w:tab/>
        </w:r>
        <w:r w:rsidRPr="000A3BA2">
          <w:rPr>
            <w:rStyle w:val="Hyperlink"/>
            <w:color w:val="auto"/>
            <w:u w:val="none"/>
          </w:rPr>
          <w:t>Updating procurement frameworks.</w:t>
        </w:r>
        <w:r w:rsidRPr="009B382A">
          <w:rPr>
            <w:webHidden/>
          </w:rPr>
          <w:tab/>
        </w:r>
        <w:r w:rsidRPr="009B382A">
          <w:rPr>
            <w:webHidden/>
          </w:rPr>
          <w:fldChar w:fldCharType="begin"/>
        </w:r>
        <w:r w:rsidRPr="009B382A">
          <w:rPr>
            <w:webHidden/>
          </w:rPr>
          <w:instrText xml:space="preserve"> PAGEREF _Toc178600272 \h </w:instrText>
        </w:r>
        <w:r w:rsidRPr="009B382A">
          <w:rPr>
            <w:webHidden/>
          </w:rPr>
        </w:r>
        <w:r w:rsidRPr="009B382A">
          <w:rPr>
            <w:webHidden/>
          </w:rPr>
          <w:fldChar w:fldCharType="separate"/>
        </w:r>
        <w:r w:rsidRPr="009B382A">
          <w:rPr>
            <w:webHidden/>
          </w:rPr>
          <w:t>2</w:t>
        </w:r>
        <w:r w:rsidRPr="009B382A">
          <w:rPr>
            <w:webHidden/>
          </w:rPr>
          <w:fldChar w:fldCharType="end"/>
        </w:r>
      </w:hyperlink>
    </w:p>
    <w:p w14:paraId="7E121736" w14:textId="2297DF80" w:rsidR="0043042C" w:rsidRPr="000A3BA2" w:rsidRDefault="0043042C" w:rsidP="009B382A">
      <w:pPr>
        <w:pStyle w:val="TOC2"/>
      </w:pPr>
      <w:hyperlink w:anchor="_Toc178600273" w:history="1">
        <w:r w:rsidRPr="000A3BA2">
          <w:rPr>
            <w:rStyle w:val="Hyperlink"/>
            <w:color w:val="auto"/>
            <w:u w:val="none"/>
          </w:rPr>
          <w:t>5.</w:t>
        </w:r>
        <w:r w:rsidRPr="000A3BA2">
          <w:tab/>
        </w:r>
        <w:r w:rsidRPr="000A3BA2">
          <w:rPr>
            <w:rStyle w:val="Hyperlink"/>
            <w:color w:val="auto"/>
            <w:u w:val="none"/>
          </w:rPr>
          <w:t>Engaging local suppliers and recording ‘if not, why not’ reasoning</w:t>
        </w:r>
        <w:r w:rsidRPr="009B382A">
          <w:rPr>
            <w:webHidden/>
          </w:rPr>
          <w:tab/>
        </w:r>
        <w:r w:rsidRPr="009B382A">
          <w:rPr>
            <w:webHidden/>
          </w:rPr>
          <w:fldChar w:fldCharType="begin"/>
        </w:r>
        <w:r w:rsidRPr="009B382A">
          <w:rPr>
            <w:webHidden/>
          </w:rPr>
          <w:instrText xml:space="preserve"> PAGEREF _Toc178600273 \h </w:instrText>
        </w:r>
        <w:r w:rsidRPr="009B382A">
          <w:rPr>
            <w:webHidden/>
          </w:rPr>
        </w:r>
        <w:r w:rsidRPr="009B382A">
          <w:rPr>
            <w:webHidden/>
          </w:rPr>
          <w:fldChar w:fldCharType="separate"/>
        </w:r>
        <w:r w:rsidRPr="009B382A">
          <w:rPr>
            <w:webHidden/>
          </w:rPr>
          <w:t>3</w:t>
        </w:r>
        <w:r w:rsidRPr="009B382A">
          <w:rPr>
            <w:webHidden/>
          </w:rPr>
          <w:fldChar w:fldCharType="end"/>
        </w:r>
      </w:hyperlink>
    </w:p>
    <w:p w14:paraId="17117F09" w14:textId="3B821A5A" w:rsidR="0043042C" w:rsidRPr="000A3BA2" w:rsidRDefault="0043042C" w:rsidP="009B382A">
      <w:pPr>
        <w:pStyle w:val="TOC2"/>
      </w:pPr>
      <w:hyperlink w:anchor="_Toc178600274" w:history="1">
        <w:r w:rsidRPr="000A3BA2">
          <w:rPr>
            <w:rStyle w:val="Hyperlink"/>
            <w:color w:val="auto"/>
            <w:u w:val="none"/>
          </w:rPr>
          <w:t>6.</w:t>
        </w:r>
        <w:r w:rsidRPr="000A3BA2">
          <w:tab/>
        </w:r>
        <w:r w:rsidRPr="000A3BA2">
          <w:rPr>
            <w:rStyle w:val="Hyperlink"/>
            <w:color w:val="auto"/>
            <w:u w:val="none"/>
          </w:rPr>
          <w:t>Collecting and reporting data on procurement from local suppliers</w:t>
        </w:r>
        <w:r w:rsidRPr="009B382A">
          <w:rPr>
            <w:webHidden/>
          </w:rPr>
          <w:tab/>
        </w:r>
        <w:r w:rsidRPr="009B382A">
          <w:rPr>
            <w:webHidden/>
          </w:rPr>
          <w:fldChar w:fldCharType="begin"/>
        </w:r>
        <w:r w:rsidRPr="009B382A">
          <w:rPr>
            <w:webHidden/>
          </w:rPr>
          <w:instrText xml:space="preserve"> PAGEREF _Toc178600274 \h </w:instrText>
        </w:r>
        <w:r w:rsidRPr="009B382A">
          <w:rPr>
            <w:webHidden/>
          </w:rPr>
        </w:r>
        <w:r w:rsidRPr="009B382A">
          <w:rPr>
            <w:webHidden/>
          </w:rPr>
          <w:fldChar w:fldCharType="separate"/>
        </w:r>
        <w:r w:rsidRPr="009B382A">
          <w:rPr>
            <w:webHidden/>
          </w:rPr>
          <w:t>3</w:t>
        </w:r>
        <w:r w:rsidRPr="009B382A">
          <w:rPr>
            <w:webHidden/>
          </w:rPr>
          <w:fldChar w:fldCharType="end"/>
        </w:r>
      </w:hyperlink>
    </w:p>
    <w:p w14:paraId="15433F09" w14:textId="08580856" w:rsidR="0043042C" w:rsidRPr="000A3BA2" w:rsidRDefault="0043042C" w:rsidP="009B382A">
      <w:pPr>
        <w:pStyle w:val="TOC2"/>
      </w:pPr>
      <w:hyperlink w:anchor="_Toc178600275" w:history="1">
        <w:r w:rsidRPr="000A3BA2">
          <w:rPr>
            <w:rStyle w:val="Hyperlink"/>
            <w:color w:val="auto"/>
            <w:u w:val="none"/>
          </w:rPr>
          <w:t>7.</w:t>
        </w:r>
        <w:r w:rsidRPr="000A3BA2">
          <w:tab/>
        </w:r>
        <w:r w:rsidRPr="000A3BA2">
          <w:rPr>
            <w:rStyle w:val="Hyperlink"/>
            <w:color w:val="auto"/>
            <w:u w:val="none"/>
          </w:rPr>
          <w:t>Embed local market testing in procurement plans</w:t>
        </w:r>
        <w:r w:rsidRPr="009B382A">
          <w:rPr>
            <w:webHidden/>
          </w:rPr>
          <w:tab/>
        </w:r>
        <w:r w:rsidRPr="009B382A">
          <w:rPr>
            <w:webHidden/>
          </w:rPr>
          <w:fldChar w:fldCharType="begin"/>
        </w:r>
        <w:r w:rsidRPr="009B382A">
          <w:rPr>
            <w:webHidden/>
          </w:rPr>
          <w:instrText xml:space="preserve"> PAGEREF _Toc178600275 \h </w:instrText>
        </w:r>
        <w:r w:rsidRPr="009B382A">
          <w:rPr>
            <w:webHidden/>
          </w:rPr>
        </w:r>
        <w:r w:rsidRPr="009B382A">
          <w:rPr>
            <w:webHidden/>
          </w:rPr>
          <w:fldChar w:fldCharType="separate"/>
        </w:r>
        <w:r w:rsidRPr="009B382A">
          <w:rPr>
            <w:webHidden/>
          </w:rPr>
          <w:t>3</w:t>
        </w:r>
        <w:r w:rsidRPr="009B382A">
          <w:rPr>
            <w:webHidden/>
          </w:rPr>
          <w:fldChar w:fldCharType="end"/>
        </w:r>
      </w:hyperlink>
    </w:p>
    <w:p w14:paraId="4FD5E9AD" w14:textId="4F3434C1" w:rsidR="0043042C" w:rsidRPr="000A3BA2" w:rsidRDefault="0043042C" w:rsidP="009B382A">
      <w:pPr>
        <w:pStyle w:val="TOC2"/>
      </w:pPr>
      <w:hyperlink w:anchor="_Toc178600277" w:history="1">
        <w:r w:rsidRPr="000A3BA2">
          <w:rPr>
            <w:rStyle w:val="Hyperlink"/>
            <w:color w:val="auto"/>
            <w:u w:val="none"/>
          </w:rPr>
          <w:t>8.</w:t>
        </w:r>
        <w:r w:rsidRPr="000A3BA2">
          <w:tab/>
        </w:r>
        <w:r w:rsidRPr="000A3BA2">
          <w:rPr>
            <w:rStyle w:val="Hyperlink"/>
            <w:color w:val="auto"/>
            <w:u w:val="none"/>
          </w:rPr>
          <w:t>Recording reasons for not selecting a local supplier during the decision-making process</w:t>
        </w:r>
        <w:r w:rsidRPr="009B382A">
          <w:rPr>
            <w:webHidden/>
          </w:rPr>
          <w:tab/>
        </w:r>
        <w:r w:rsidRPr="009B382A">
          <w:rPr>
            <w:webHidden/>
          </w:rPr>
          <w:fldChar w:fldCharType="begin"/>
        </w:r>
        <w:r w:rsidRPr="009B382A">
          <w:rPr>
            <w:webHidden/>
          </w:rPr>
          <w:instrText xml:space="preserve"> PAGEREF _Toc178600277 \h </w:instrText>
        </w:r>
        <w:r w:rsidRPr="009B382A">
          <w:rPr>
            <w:webHidden/>
          </w:rPr>
        </w:r>
        <w:r w:rsidRPr="009B382A">
          <w:rPr>
            <w:webHidden/>
          </w:rPr>
          <w:fldChar w:fldCharType="separate"/>
        </w:r>
        <w:r w:rsidRPr="009B382A">
          <w:rPr>
            <w:webHidden/>
          </w:rPr>
          <w:t>5</w:t>
        </w:r>
        <w:r w:rsidRPr="009B382A">
          <w:rPr>
            <w:webHidden/>
          </w:rPr>
          <w:fldChar w:fldCharType="end"/>
        </w:r>
      </w:hyperlink>
    </w:p>
    <w:p w14:paraId="5C726E88" w14:textId="7ACCD371" w:rsidR="0043042C" w:rsidRPr="000A3BA2" w:rsidRDefault="0043042C" w:rsidP="009B382A">
      <w:pPr>
        <w:pStyle w:val="TOC2"/>
      </w:pPr>
      <w:hyperlink w:anchor="_Toc178600278" w:history="1">
        <w:r w:rsidRPr="000A3BA2">
          <w:rPr>
            <w:rStyle w:val="Hyperlink"/>
            <w:color w:val="auto"/>
            <w:u w:val="none"/>
          </w:rPr>
          <w:t>9.</w:t>
        </w:r>
        <w:r w:rsidRPr="000A3BA2">
          <w:tab/>
        </w:r>
        <w:r w:rsidRPr="000A3BA2">
          <w:rPr>
            <w:rStyle w:val="Hyperlink"/>
            <w:color w:val="auto"/>
            <w:u w:val="none"/>
          </w:rPr>
          <w:t>Interactions with PBD 2019-05 Procurement (Enforceable Procurement Provisions) Direction</w:t>
        </w:r>
        <w:r w:rsidRPr="009B382A">
          <w:rPr>
            <w:webHidden/>
          </w:rPr>
          <w:tab/>
        </w:r>
        <w:r w:rsidRPr="009B382A">
          <w:rPr>
            <w:webHidden/>
          </w:rPr>
          <w:fldChar w:fldCharType="begin"/>
        </w:r>
        <w:r w:rsidRPr="009B382A">
          <w:rPr>
            <w:webHidden/>
          </w:rPr>
          <w:instrText xml:space="preserve"> PAGEREF _Toc178600278 \h </w:instrText>
        </w:r>
        <w:r w:rsidRPr="009B382A">
          <w:rPr>
            <w:webHidden/>
          </w:rPr>
        </w:r>
        <w:r w:rsidRPr="009B382A">
          <w:rPr>
            <w:webHidden/>
          </w:rPr>
          <w:fldChar w:fldCharType="separate"/>
        </w:r>
        <w:r w:rsidRPr="009B382A">
          <w:rPr>
            <w:webHidden/>
          </w:rPr>
          <w:t>6</w:t>
        </w:r>
        <w:r w:rsidRPr="009B382A">
          <w:rPr>
            <w:webHidden/>
          </w:rPr>
          <w:fldChar w:fldCharType="end"/>
        </w:r>
      </w:hyperlink>
    </w:p>
    <w:p w14:paraId="2D074BB2" w14:textId="1BB52FA6" w:rsidR="0043042C" w:rsidRPr="000A3BA2" w:rsidRDefault="0043042C" w:rsidP="000A3BA2">
      <w:pPr>
        <w:pStyle w:val="TOC2"/>
      </w:pPr>
      <w:hyperlink w:anchor="_Toc178600279" w:history="1">
        <w:r w:rsidRPr="000A3BA2">
          <w:rPr>
            <w:rStyle w:val="Hyperlink"/>
            <w:color w:val="auto"/>
            <w:u w:val="none"/>
          </w:rPr>
          <w:t>10.</w:t>
        </w:r>
        <w:r w:rsidRPr="000A3BA2">
          <w:tab/>
        </w:r>
        <w:r w:rsidRPr="000A3BA2">
          <w:rPr>
            <w:rStyle w:val="Hyperlink"/>
            <w:color w:val="auto"/>
            <w:u w:val="none"/>
          </w:rPr>
          <w:t>Definitions</w:t>
        </w:r>
        <w:r w:rsidRPr="009B382A">
          <w:rPr>
            <w:webHidden/>
          </w:rPr>
          <w:tab/>
        </w:r>
        <w:r w:rsidRPr="009B382A">
          <w:rPr>
            <w:webHidden/>
          </w:rPr>
          <w:fldChar w:fldCharType="begin"/>
        </w:r>
        <w:r w:rsidRPr="009B382A">
          <w:rPr>
            <w:webHidden/>
          </w:rPr>
          <w:instrText xml:space="preserve"> PAGEREF _Toc178600279 \h </w:instrText>
        </w:r>
        <w:r w:rsidRPr="009B382A">
          <w:rPr>
            <w:webHidden/>
          </w:rPr>
        </w:r>
        <w:r w:rsidRPr="009B382A">
          <w:rPr>
            <w:webHidden/>
          </w:rPr>
          <w:fldChar w:fldCharType="separate"/>
        </w:r>
        <w:r w:rsidRPr="009B382A">
          <w:rPr>
            <w:webHidden/>
          </w:rPr>
          <w:t>6</w:t>
        </w:r>
        <w:r w:rsidRPr="009B382A">
          <w:rPr>
            <w:webHidden/>
          </w:rPr>
          <w:fldChar w:fldCharType="end"/>
        </w:r>
      </w:hyperlink>
    </w:p>
    <w:p w14:paraId="0BEFC1E9" w14:textId="551D7708" w:rsidR="0043042C" w:rsidRPr="000A3BA2" w:rsidRDefault="0043042C" w:rsidP="000A3BA2">
      <w:pPr>
        <w:pStyle w:val="TOC2"/>
      </w:pPr>
      <w:hyperlink w:anchor="_Toc178600286" w:history="1">
        <w:r w:rsidRPr="000A3BA2">
          <w:rPr>
            <w:rStyle w:val="Hyperlink"/>
            <w:color w:val="auto"/>
            <w:u w:val="none"/>
          </w:rPr>
          <w:t>11.</w:t>
        </w:r>
        <w:r w:rsidRPr="000A3BA2">
          <w:tab/>
        </w:r>
        <w:r w:rsidRPr="000A3BA2">
          <w:rPr>
            <w:rStyle w:val="Hyperlink"/>
            <w:color w:val="auto"/>
            <w:u w:val="none"/>
          </w:rPr>
          <w:t>Implementation timing</w:t>
        </w:r>
        <w:r w:rsidRPr="009B382A">
          <w:rPr>
            <w:webHidden/>
          </w:rPr>
          <w:tab/>
        </w:r>
        <w:r w:rsidRPr="009B382A">
          <w:rPr>
            <w:webHidden/>
          </w:rPr>
          <w:fldChar w:fldCharType="begin"/>
        </w:r>
        <w:r w:rsidRPr="009B382A">
          <w:rPr>
            <w:webHidden/>
          </w:rPr>
          <w:instrText xml:space="preserve"> PAGEREF _Toc178600286 \h </w:instrText>
        </w:r>
        <w:r w:rsidRPr="009B382A">
          <w:rPr>
            <w:webHidden/>
          </w:rPr>
        </w:r>
        <w:r w:rsidRPr="009B382A">
          <w:rPr>
            <w:webHidden/>
          </w:rPr>
          <w:fldChar w:fldCharType="separate"/>
        </w:r>
        <w:r w:rsidRPr="009B382A">
          <w:rPr>
            <w:webHidden/>
          </w:rPr>
          <w:t>7</w:t>
        </w:r>
        <w:r w:rsidRPr="009B382A">
          <w:rPr>
            <w:webHidden/>
          </w:rPr>
          <w:fldChar w:fldCharType="end"/>
        </w:r>
      </w:hyperlink>
    </w:p>
    <w:p w14:paraId="17B998FE" w14:textId="4779AEED" w:rsidR="00FC6710" w:rsidRPr="00FC6710" w:rsidRDefault="00FC6710" w:rsidP="009B382A">
      <w:pPr>
        <w:pStyle w:val="TOC2"/>
      </w:pPr>
      <w:r>
        <w:fldChar w:fldCharType="end"/>
      </w:r>
    </w:p>
    <w:p w14:paraId="462F00CF" w14:textId="28AD53D6" w:rsidR="00FC6710" w:rsidRPr="00CE726C" w:rsidRDefault="00FC6710" w:rsidP="00CE726C">
      <w:pPr>
        <w:pStyle w:val="Heading2"/>
      </w:pPr>
      <w:bookmarkStart w:id="2" w:name="_Toc178089233"/>
      <w:bookmarkStart w:id="3" w:name="_Toc178600269"/>
      <w:r w:rsidRPr="00CE726C">
        <w:t>What you need to know</w:t>
      </w:r>
      <w:bookmarkEnd w:id="2"/>
      <w:bookmarkEnd w:id="3"/>
      <w:r w:rsidRPr="00CE726C">
        <w:t xml:space="preserve"> </w:t>
      </w:r>
    </w:p>
    <w:p w14:paraId="143ECDB2" w14:textId="77777777" w:rsidR="00FC6710" w:rsidRPr="00D970B7" w:rsidRDefault="00FC6710" w:rsidP="00FC6710">
      <w:pPr>
        <w:pStyle w:val="ListBullet"/>
      </w:pPr>
      <w:r>
        <w:t>Local NSW-based suppliers must have full and fair opportunity to participate in procurement processes</w:t>
      </w:r>
    </w:p>
    <w:p w14:paraId="4865E235" w14:textId="45131861" w:rsidR="00FC6710" w:rsidRDefault="00FC6710" w:rsidP="00FC6710">
      <w:pPr>
        <w:pStyle w:val="ListBullet"/>
      </w:pPr>
      <w:r w:rsidRPr="00D970B7">
        <w:t xml:space="preserve">Agencies must take steps to identify capable </w:t>
      </w:r>
      <w:r w:rsidR="00625DE8">
        <w:t xml:space="preserve">NSW-based </w:t>
      </w:r>
      <w:r w:rsidRPr="00D970B7">
        <w:t>suppliers during the planning stage f</w:t>
      </w:r>
      <w:r>
        <w:t>or</w:t>
      </w:r>
      <w:r w:rsidRPr="00D970B7">
        <w:t xml:space="preserve"> all procurements valued $7.5 million or more </w:t>
      </w:r>
      <w:r w:rsidR="00D44F11">
        <w:t>(excluding GST)</w:t>
      </w:r>
    </w:p>
    <w:p w14:paraId="07A3DC1B" w14:textId="089B2C51" w:rsidR="00FC6710" w:rsidRPr="00D970B7" w:rsidRDefault="00FC6710" w:rsidP="00FC6710">
      <w:pPr>
        <w:pStyle w:val="ListBullet"/>
      </w:pPr>
      <w:r w:rsidRPr="00D970B7">
        <w:t xml:space="preserve">If </w:t>
      </w:r>
      <w:proofErr w:type="gramStart"/>
      <w:r w:rsidRPr="00D970B7">
        <w:t>a</w:t>
      </w:r>
      <w:proofErr w:type="gramEnd"/>
      <w:r w:rsidRPr="00D970B7">
        <w:t xml:space="preserve"> </w:t>
      </w:r>
      <w:r w:rsidR="00625DE8">
        <w:t>NSW-based</w:t>
      </w:r>
      <w:r w:rsidRPr="00D970B7">
        <w:t xml:space="preserve"> supplier is not awarded the contract, agencies must document the reasons why</w:t>
      </w:r>
    </w:p>
    <w:p w14:paraId="343FAAE9" w14:textId="43FFC231" w:rsidR="00FC6710" w:rsidRPr="00D970B7" w:rsidRDefault="00FC6710" w:rsidP="00FC6710">
      <w:pPr>
        <w:pStyle w:val="ListBullet"/>
      </w:pPr>
      <w:r w:rsidRPr="00D970B7">
        <w:t xml:space="preserve">Starting 1 January 2025, agencies must collect and report quarterly data about the use of </w:t>
      </w:r>
      <w:r w:rsidR="00625DE8">
        <w:t>NSW-based</w:t>
      </w:r>
      <w:r w:rsidRPr="00D970B7">
        <w:t xml:space="preserve"> suppliers in procurements valued $7.5 million or more</w:t>
      </w:r>
      <w:r w:rsidR="00D44F11">
        <w:t xml:space="preserve"> (excluding GST)</w:t>
      </w:r>
    </w:p>
    <w:p w14:paraId="098C81D7" w14:textId="696873CB" w:rsidR="00FC6710" w:rsidRPr="00D970B7" w:rsidRDefault="00FC6710" w:rsidP="00FC6710">
      <w:pPr>
        <w:pStyle w:val="ListBullet"/>
      </w:pPr>
      <w:r>
        <w:t>A</w:t>
      </w:r>
      <w:r w:rsidRPr="00D970B7">
        <w:t xml:space="preserve">gencies must update their procurement frameworks to implement the PBD 2024-02 </w:t>
      </w:r>
      <w:r>
        <w:t>b</w:t>
      </w:r>
      <w:r w:rsidRPr="00D970B7">
        <w:t>y 15</w:t>
      </w:r>
      <w:r w:rsidR="00460615">
        <w:t> </w:t>
      </w:r>
      <w:r w:rsidRPr="00D970B7">
        <w:t>December 2024</w:t>
      </w:r>
    </w:p>
    <w:p w14:paraId="6E5DDCBC" w14:textId="3ECFE48D" w:rsidR="00FC6710" w:rsidRDefault="00FC6710" w:rsidP="00FC6710">
      <w:pPr>
        <w:pStyle w:val="ListBullet"/>
      </w:pPr>
      <w:r w:rsidRPr="00D970B7">
        <w:lastRenderedPageBreak/>
        <w:t>All NSW Government agencies must implement the board direction promptly, but no late</w:t>
      </w:r>
      <w:r>
        <w:t>r</w:t>
      </w:r>
      <w:r w:rsidRPr="00D970B7">
        <w:t xml:space="preserve"> than 1</w:t>
      </w:r>
      <w:r w:rsidR="00460615">
        <w:t> </w:t>
      </w:r>
      <w:r w:rsidRPr="00D970B7">
        <w:t xml:space="preserve">January 2025. </w:t>
      </w:r>
    </w:p>
    <w:p w14:paraId="50BE0061" w14:textId="77777777" w:rsidR="005D06E8" w:rsidRPr="00D970B7" w:rsidRDefault="005D06E8" w:rsidP="007B56E3">
      <w:pPr>
        <w:pStyle w:val="ListBullet"/>
        <w:numPr>
          <w:ilvl w:val="0"/>
          <w:numId w:val="0"/>
        </w:numPr>
        <w:ind w:left="357" w:hanging="357"/>
      </w:pPr>
    </w:p>
    <w:p w14:paraId="665021E9" w14:textId="5FDAC6BC" w:rsidR="00FC6710" w:rsidRDefault="00FC6710" w:rsidP="00CE726C">
      <w:pPr>
        <w:pStyle w:val="Heading2"/>
      </w:pPr>
      <w:bookmarkStart w:id="4" w:name="_Toc178600270"/>
      <w:r w:rsidRPr="00FC6710">
        <w:rPr>
          <w:rStyle w:val="Heading2Char"/>
        </w:rPr>
        <w:t>Procurement Board Direction 2024-02</w:t>
      </w:r>
      <w:bookmarkEnd w:id="4"/>
      <w:r w:rsidRPr="00FC6710">
        <w:rPr>
          <w:rStyle w:val="Heading2Char"/>
        </w:rPr>
        <w:t xml:space="preserve"> </w:t>
      </w:r>
    </w:p>
    <w:p w14:paraId="21EA0B04" w14:textId="4A3ECD20" w:rsidR="00FC6710" w:rsidRPr="00FC6710" w:rsidRDefault="00FC6710" w:rsidP="00FC6710">
      <w:pPr>
        <w:pStyle w:val="BodyText"/>
      </w:pPr>
      <w:r w:rsidRPr="00FC6710">
        <w:t>PBD 2024-02 Increasing opportunities for local suppliers to supply to government was released by the Procurement Board on 9 September 2024.</w:t>
      </w:r>
    </w:p>
    <w:p w14:paraId="2AB54F87" w14:textId="77777777" w:rsidR="00FC6710" w:rsidRPr="00FC6710" w:rsidRDefault="00FC6710" w:rsidP="00FC6710">
      <w:pPr>
        <w:pStyle w:val="BodyText"/>
      </w:pPr>
      <w:r w:rsidRPr="00FC6710">
        <w:t xml:space="preserve">The direction requires agencies, for projects and contracts valued $7.5 million or more, to: </w:t>
      </w:r>
    </w:p>
    <w:p w14:paraId="08B8B4EE" w14:textId="45C9B66E" w:rsidR="00FC6710" w:rsidRPr="00FC6710" w:rsidRDefault="00FC6710" w:rsidP="00FC6710">
      <w:pPr>
        <w:pStyle w:val="ListBullet"/>
      </w:pPr>
      <w:r w:rsidRPr="00FC6710">
        <w:t xml:space="preserve">conduct market testing during procurement planning to identify NSW-based </w:t>
      </w:r>
      <w:r w:rsidRPr="00FC6710" w:rsidDel="00BA7C51">
        <w:t>(local)</w:t>
      </w:r>
      <w:r w:rsidRPr="00FC6710">
        <w:t xml:space="preserve"> suppliers</w:t>
      </w:r>
    </w:p>
    <w:p w14:paraId="3101BB7E" w14:textId="666871A0" w:rsidR="00FC6710" w:rsidRPr="00FC6710" w:rsidRDefault="00FC6710" w:rsidP="00FC6710">
      <w:pPr>
        <w:pStyle w:val="ListBullet"/>
      </w:pPr>
      <w:r w:rsidRPr="00FC6710">
        <w:t xml:space="preserve">ensure </w:t>
      </w:r>
      <w:r w:rsidR="00625DE8">
        <w:t>NSW-based</w:t>
      </w:r>
      <w:r w:rsidRPr="00FC6710">
        <w:t xml:space="preserve"> suppliers have full and fair opportunity to participate in procurement processes</w:t>
      </w:r>
    </w:p>
    <w:p w14:paraId="2A82B0FC" w14:textId="4FDBF4E5" w:rsidR="00FC6710" w:rsidRPr="00FC6710" w:rsidRDefault="00FC6710" w:rsidP="00FC6710">
      <w:pPr>
        <w:pStyle w:val="ListBullet"/>
      </w:pPr>
      <w:r w:rsidRPr="00FC6710">
        <w:t xml:space="preserve">state, on an ‘if not, why not’ basis, why a contract has not been awarded to </w:t>
      </w:r>
      <w:proofErr w:type="gramStart"/>
      <w:r w:rsidRPr="00FC6710">
        <w:t>a</w:t>
      </w:r>
      <w:proofErr w:type="gramEnd"/>
      <w:r w:rsidRPr="00FC6710">
        <w:t xml:space="preserve"> </w:t>
      </w:r>
      <w:r w:rsidR="00625DE8">
        <w:t>NSW-based</w:t>
      </w:r>
      <w:r w:rsidRPr="00FC6710">
        <w:t xml:space="preserve"> supplier if one is available</w:t>
      </w:r>
    </w:p>
    <w:p w14:paraId="72CC6FB6" w14:textId="77777777" w:rsidR="00FC6710" w:rsidRDefault="00FC6710" w:rsidP="00FC6710">
      <w:pPr>
        <w:pStyle w:val="ListBullet"/>
      </w:pPr>
      <w:r w:rsidRPr="00FC6710">
        <w:t>report on the implementation of the direction.</w:t>
      </w:r>
    </w:p>
    <w:p w14:paraId="0A0A9178" w14:textId="77777777" w:rsidR="005D06E8" w:rsidRPr="00FC6710" w:rsidRDefault="005D06E8" w:rsidP="007B56E3">
      <w:pPr>
        <w:pStyle w:val="ListBullet"/>
        <w:numPr>
          <w:ilvl w:val="0"/>
          <w:numId w:val="0"/>
        </w:numPr>
        <w:ind w:left="357" w:hanging="357"/>
      </w:pPr>
    </w:p>
    <w:p w14:paraId="27E693DA" w14:textId="7A864D3D" w:rsidR="00FC6710" w:rsidRPr="00D970B7" w:rsidRDefault="00FC6710" w:rsidP="00CE726C">
      <w:pPr>
        <w:pStyle w:val="Heading2"/>
      </w:pPr>
      <w:bookmarkStart w:id="5" w:name="_Toc178600271"/>
      <w:r w:rsidRPr="00D970B7">
        <w:t>Understanding applicable procurements</w:t>
      </w:r>
      <w:bookmarkEnd w:id="5"/>
    </w:p>
    <w:p w14:paraId="53C2DA0D" w14:textId="77777777" w:rsidR="00FC6710" w:rsidRPr="008D77D6" w:rsidRDefault="00FC6710" w:rsidP="00FC6710">
      <w:pPr>
        <w:pStyle w:val="BodyText"/>
      </w:pPr>
      <w:r w:rsidRPr="008D77D6">
        <w:t xml:space="preserve">The </w:t>
      </w:r>
      <w:r>
        <w:t>d</w:t>
      </w:r>
      <w:r w:rsidRPr="008D77D6">
        <w:t>irection applies to:</w:t>
      </w:r>
    </w:p>
    <w:p w14:paraId="753405FA" w14:textId="77777777" w:rsidR="00FC6710" w:rsidRPr="008D77D6" w:rsidRDefault="00FC6710" w:rsidP="00FC6710">
      <w:pPr>
        <w:pStyle w:val="ListBullet"/>
      </w:pPr>
      <w:r w:rsidRPr="008D77D6">
        <w:t>NSW Government procurement for a project or contract with a budget of $7.5</w:t>
      </w:r>
      <w:r>
        <w:t xml:space="preserve"> </w:t>
      </w:r>
      <w:r w:rsidRPr="008D77D6">
        <w:t>m</w:t>
      </w:r>
      <w:r>
        <w:t>illion</w:t>
      </w:r>
      <w:r w:rsidRPr="008D77D6">
        <w:t xml:space="preserve"> or more </w:t>
      </w:r>
    </w:p>
    <w:p w14:paraId="67D63F2E" w14:textId="77777777" w:rsidR="00FC6710" w:rsidRPr="008D77D6" w:rsidRDefault="00FC6710" w:rsidP="00FC6710">
      <w:pPr>
        <w:pStyle w:val="ListBullet"/>
      </w:pPr>
      <w:r w:rsidRPr="008D77D6">
        <w:t>all categories of procurement for goods and services, including construction and ICT</w:t>
      </w:r>
    </w:p>
    <w:p w14:paraId="4DF8D9B2" w14:textId="1D80023B" w:rsidR="00065317" w:rsidRDefault="00FC6710" w:rsidP="00065317">
      <w:pPr>
        <w:pStyle w:val="ListBullet"/>
      </w:pPr>
      <w:r w:rsidRPr="008D77D6">
        <w:t xml:space="preserve">all procurement arrangements, from standalone contracts to whole-of-government contracts. This includes procurements using existing prequalification schemes, and the </w:t>
      </w:r>
      <w:r>
        <w:t xml:space="preserve">renewal or </w:t>
      </w:r>
      <w:r w:rsidRPr="008D77D6">
        <w:t xml:space="preserve">establishment of </w:t>
      </w:r>
      <w:r>
        <w:t xml:space="preserve">procurement </w:t>
      </w:r>
      <w:r w:rsidRPr="008D77D6">
        <w:t>panels</w:t>
      </w:r>
    </w:p>
    <w:p w14:paraId="5A4A8772" w14:textId="4CDB2B47" w:rsidR="00065317" w:rsidRDefault="00EB7817" w:rsidP="00013CB1">
      <w:pPr>
        <w:pStyle w:val="ListBullet"/>
      </w:pPr>
      <w:r w:rsidRPr="00EB7817">
        <w:t xml:space="preserve">all </w:t>
      </w:r>
      <w:r>
        <w:t>procurement</w:t>
      </w:r>
      <w:r w:rsidR="003D3673">
        <w:t xml:space="preserve"> processe</w:t>
      </w:r>
      <w:r>
        <w:t>s</w:t>
      </w:r>
      <w:r w:rsidR="00C74887">
        <w:t xml:space="preserve">, </w:t>
      </w:r>
      <w:r w:rsidR="00C74887" w:rsidRPr="00013CB1">
        <w:t>including</w:t>
      </w:r>
      <w:r>
        <w:t xml:space="preserve"> </w:t>
      </w:r>
      <w:r w:rsidR="00712DB0">
        <w:t xml:space="preserve">procurements using schemes or panels, and </w:t>
      </w:r>
      <w:r w:rsidR="00C74887">
        <w:t xml:space="preserve">direct negotiations. </w:t>
      </w:r>
      <w:r>
        <w:t xml:space="preserve"> </w:t>
      </w:r>
    </w:p>
    <w:p w14:paraId="1647985C" w14:textId="15280024" w:rsidR="00FC6710" w:rsidRPr="00334852" w:rsidRDefault="00FC6710" w:rsidP="00FC6710">
      <w:pPr>
        <w:pStyle w:val="BodyText"/>
      </w:pPr>
      <w:r w:rsidRPr="00334852">
        <w:t xml:space="preserve">The direction was issued on 9 September 2024. </w:t>
      </w:r>
    </w:p>
    <w:p w14:paraId="196EBF20" w14:textId="3A9A2D29" w:rsidR="00FF3D09" w:rsidRPr="00334852" w:rsidRDefault="00F61D56" w:rsidP="00FC6710">
      <w:pPr>
        <w:pStyle w:val="BodyText"/>
      </w:pPr>
      <w:r w:rsidRPr="00334852">
        <w:t xml:space="preserve">In acknowledgement that agency policies, templates and systems may need to be updated before the direction can be implemented for all procurements valued $7.5 million or more, the Minister has set a cut-off date of 1 January 2025 for agencies to ensure the direction is </w:t>
      </w:r>
      <w:r w:rsidR="009B3CC4" w:rsidRPr="00334852">
        <w:t xml:space="preserve">implemented. </w:t>
      </w:r>
    </w:p>
    <w:p w14:paraId="69258E33" w14:textId="1D2DA754" w:rsidR="002B42C3" w:rsidRPr="00334852" w:rsidRDefault="00970CFE" w:rsidP="00FC6710">
      <w:pPr>
        <w:pStyle w:val="BodyText"/>
      </w:pPr>
      <w:r w:rsidRPr="00334852">
        <w:t>However, agencies must implement the direction promptly, but no later than 1 January 2025.</w:t>
      </w:r>
    </w:p>
    <w:p w14:paraId="26950F17" w14:textId="3575DAB2" w:rsidR="00891FB9" w:rsidRDefault="00FC6710" w:rsidP="00FC6710">
      <w:pPr>
        <w:pStyle w:val="BodyText"/>
      </w:pPr>
      <w:r w:rsidRPr="00334852">
        <w:t xml:space="preserve">The </w:t>
      </w:r>
      <w:r w:rsidR="00820CB3" w:rsidRPr="00334852">
        <w:t>d</w:t>
      </w:r>
      <w:r w:rsidRPr="00334852">
        <w:t>irection does not apply to procurements that commenced prior to 9 September</w:t>
      </w:r>
      <w:r w:rsidR="009E7BDE" w:rsidRPr="00334852">
        <w:t xml:space="preserve"> 2024</w:t>
      </w:r>
      <w:r w:rsidRPr="00334852">
        <w:t>.</w:t>
      </w:r>
      <w:r w:rsidRPr="00107A46">
        <w:t xml:space="preserve"> </w:t>
      </w:r>
    </w:p>
    <w:p w14:paraId="4648F8B0" w14:textId="444ED300" w:rsidR="0043042C" w:rsidRDefault="00FC6710" w:rsidP="0043042C">
      <w:pPr>
        <w:pStyle w:val="BodyText"/>
      </w:pPr>
      <w:r w:rsidRPr="00107A46">
        <w:t xml:space="preserve">Agencies are to take reasonable steps to apply the </w:t>
      </w:r>
      <w:r w:rsidR="00062DBB">
        <w:t>d</w:t>
      </w:r>
      <w:r w:rsidRPr="00107A46">
        <w:t xml:space="preserve">irection to any procurements that </w:t>
      </w:r>
      <w:r>
        <w:t>ha</w:t>
      </w:r>
      <w:r w:rsidR="00DB387E">
        <w:t>d</w:t>
      </w:r>
      <w:r>
        <w:t xml:space="preserve"> </w:t>
      </w:r>
      <w:r w:rsidRPr="00107A46">
        <w:t>commence</w:t>
      </w:r>
      <w:r>
        <w:t>d</w:t>
      </w:r>
      <w:r w:rsidR="00DB387E">
        <w:t xml:space="preserve"> before 9 September 2024</w:t>
      </w:r>
      <w:r>
        <w:t xml:space="preserve">, </w:t>
      </w:r>
      <w:r w:rsidRPr="00107A46">
        <w:t>where feasible. </w:t>
      </w:r>
    </w:p>
    <w:p w14:paraId="372B7371" w14:textId="77777777" w:rsidR="005D06E8" w:rsidRDefault="005D06E8" w:rsidP="0043042C">
      <w:pPr>
        <w:pStyle w:val="BodyText"/>
      </w:pPr>
    </w:p>
    <w:p w14:paraId="26289042" w14:textId="2F36F769" w:rsidR="00FC6710" w:rsidRPr="00D970B7" w:rsidRDefault="00FC6710" w:rsidP="0043042C">
      <w:pPr>
        <w:pStyle w:val="Heading2"/>
      </w:pPr>
      <w:bookmarkStart w:id="6" w:name="_Toc178600272"/>
      <w:r w:rsidRPr="00D970B7">
        <w:t>Updating procurement frameworks</w:t>
      </w:r>
      <w:r w:rsidR="0043042C">
        <w:t>.</w:t>
      </w:r>
      <w:bookmarkEnd w:id="6"/>
      <w:r w:rsidRPr="00D970B7">
        <w:t xml:space="preserve"> </w:t>
      </w:r>
    </w:p>
    <w:p w14:paraId="7D330AF7" w14:textId="2324B832" w:rsidR="00FC6710" w:rsidRDefault="00FC6710" w:rsidP="00FC6710">
      <w:pPr>
        <w:pStyle w:val="BodyText"/>
      </w:pPr>
      <w:r w:rsidRPr="008D77D6">
        <w:t>By 15 December 2024</w:t>
      </w:r>
      <w:r w:rsidR="0043042C">
        <w:t>,</w:t>
      </w:r>
      <w:r w:rsidRPr="008D77D6">
        <w:t xml:space="preserve"> agencies must</w:t>
      </w:r>
      <w:r>
        <w:t xml:space="preserve"> </w:t>
      </w:r>
      <w:r w:rsidRPr="008D77D6">
        <w:t xml:space="preserve">update their procurement frameworks, including relevant policies, procedures, standards and guidance material, to implement the board direction. </w:t>
      </w:r>
    </w:p>
    <w:p w14:paraId="1910CF28" w14:textId="77777777" w:rsidR="005D06E8" w:rsidRPr="008D77D6" w:rsidRDefault="005D06E8" w:rsidP="00FC6710">
      <w:pPr>
        <w:pStyle w:val="BodyText"/>
      </w:pPr>
    </w:p>
    <w:p w14:paraId="5CE6E0FA" w14:textId="1F0190BA" w:rsidR="00FC6710" w:rsidRPr="00D970B7" w:rsidRDefault="00FC6710" w:rsidP="00CE726C">
      <w:pPr>
        <w:pStyle w:val="Heading2"/>
      </w:pPr>
      <w:bookmarkStart w:id="7" w:name="_Toc178600273"/>
      <w:r w:rsidRPr="00D970B7">
        <w:t xml:space="preserve">Engaging </w:t>
      </w:r>
      <w:r w:rsidR="00625DE8">
        <w:t>NSW-based</w:t>
      </w:r>
      <w:r w:rsidRPr="00D970B7">
        <w:t xml:space="preserve"> suppliers and recording ‘if not, why not’ reasoning</w:t>
      </w:r>
      <w:bookmarkEnd w:id="7"/>
    </w:p>
    <w:p w14:paraId="2051B54F" w14:textId="77777777" w:rsidR="00FC6710" w:rsidRPr="00D970B7" w:rsidRDefault="00FC6710" w:rsidP="00FC6710">
      <w:pPr>
        <w:pStyle w:val="BodyText"/>
      </w:pPr>
      <w:r w:rsidRPr="00D970B7">
        <w:t>Promptly, but no later than 1 January 2025, agencies must:</w:t>
      </w:r>
    </w:p>
    <w:p w14:paraId="79A54D0C" w14:textId="77777777" w:rsidR="00FC6710" w:rsidRPr="00D970B7" w:rsidRDefault="00FC6710" w:rsidP="00FC6710">
      <w:pPr>
        <w:pStyle w:val="ListBullet"/>
      </w:pPr>
      <w:r w:rsidRPr="00D970B7">
        <w:t>adjust procurement processes to require that agency buyers identify capable NSW-based suppliers during the planning stage of all procurements valued $7.5 million or more</w:t>
      </w:r>
    </w:p>
    <w:p w14:paraId="5589ABC9" w14:textId="0B6D2E85" w:rsidR="00FC6710" w:rsidRPr="00D970B7" w:rsidRDefault="00484287" w:rsidP="00FC6710">
      <w:pPr>
        <w:pStyle w:val="ListBullet"/>
      </w:pPr>
      <w:r>
        <w:t>e</w:t>
      </w:r>
      <w:r w:rsidR="00FC6710" w:rsidRPr="00D970B7">
        <w:t xml:space="preserve">nsure any NSW-based suppliers identified during the planning stage are given full and fair opportunity to participate in the procurement, and </w:t>
      </w:r>
    </w:p>
    <w:p w14:paraId="1D90238D" w14:textId="77777777" w:rsidR="00FC6710" w:rsidRDefault="00FC6710" w:rsidP="00FC6710">
      <w:pPr>
        <w:pStyle w:val="ListBullet"/>
      </w:pPr>
      <w:r w:rsidRPr="00D970B7">
        <w:t xml:space="preserve">state, on an ‘if-not, why not’ basis, why </w:t>
      </w:r>
      <w:proofErr w:type="gramStart"/>
      <w:r w:rsidRPr="00D970B7">
        <w:t>a</w:t>
      </w:r>
      <w:proofErr w:type="gramEnd"/>
      <w:r w:rsidRPr="00D970B7">
        <w:t xml:space="preserve"> NSW-based supplier was not awarded the contract, if one is available. </w:t>
      </w:r>
    </w:p>
    <w:p w14:paraId="62B3CB80" w14:textId="7B846BE6" w:rsidR="00AC3663" w:rsidRDefault="00AC3663" w:rsidP="00AC3663">
      <w:pPr>
        <w:pStyle w:val="BodyText"/>
      </w:pPr>
      <w:r w:rsidRPr="009724BC">
        <w:t>Agencies should</w:t>
      </w:r>
      <w:r w:rsidRPr="00AC3663">
        <w:t xml:space="preserve"> </w:t>
      </w:r>
      <w:r w:rsidRPr="009724BC">
        <w:t xml:space="preserve">consider their level of confidence in contract value </w:t>
      </w:r>
      <w:proofErr w:type="gramStart"/>
      <w:r w:rsidRPr="009724BC">
        <w:t>estimates, and</w:t>
      </w:r>
      <w:proofErr w:type="gramEnd"/>
      <w:r w:rsidRPr="009724BC">
        <w:t xml:space="preserve"> </w:t>
      </w:r>
      <w:r w:rsidRPr="00AC3663">
        <w:t>apply th</w:t>
      </w:r>
      <w:r w:rsidRPr="009724BC">
        <w:t>e</w:t>
      </w:r>
      <w:r w:rsidRPr="00AC3663">
        <w:t xml:space="preserve"> Direction </w:t>
      </w:r>
      <w:r w:rsidRPr="009724BC">
        <w:t xml:space="preserve">if there is a moderate or higher risk that </w:t>
      </w:r>
      <w:r w:rsidRPr="00AC3663">
        <w:t>the actual value of a procurement may exceed $7.5 million</w:t>
      </w:r>
      <w:r w:rsidR="00D44F11">
        <w:t xml:space="preserve"> (excluding GST)</w:t>
      </w:r>
      <w:r w:rsidRPr="009724BC">
        <w:t>.</w:t>
      </w:r>
      <w:r w:rsidRPr="00AC3663">
        <w:t xml:space="preserve"> </w:t>
      </w:r>
    </w:p>
    <w:p w14:paraId="49C409CA" w14:textId="77777777" w:rsidR="005D06E8" w:rsidRPr="00D970B7" w:rsidRDefault="005D06E8" w:rsidP="007B56E3">
      <w:pPr>
        <w:pStyle w:val="BodyText"/>
      </w:pPr>
    </w:p>
    <w:p w14:paraId="15B44CE1" w14:textId="40B69510" w:rsidR="00FC6710" w:rsidRPr="00D970B7" w:rsidRDefault="00FC6710" w:rsidP="00CE726C">
      <w:pPr>
        <w:pStyle w:val="Heading2"/>
        <w:rPr>
          <w:shd w:val="clear" w:color="auto" w:fill="FFFFFF"/>
        </w:rPr>
      </w:pPr>
      <w:bookmarkStart w:id="8" w:name="_Toc178600275"/>
      <w:r w:rsidRPr="00D970B7">
        <w:t>Embed</w:t>
      </w:r>
      <w:r w:rsidR="00A87139">
        <w:t>ding</w:t>
      </w:r>
      <w:r w:rsidRPr="00D970B7">
        <w:t xml:space="preserve"> local market testing in procurement </w:t>
      </w:r>
      <w:r w:rsidR="000848D1" w:rsidRPr="00D970B7">
        <w:t>plan</w:t>
      </w:r>
      <w:r w:rsidR="000848D1">
        <w:t>s</w:t>
      </w:r>
      <w:bookmarkEnd w:id="8"/>
    </w:p>
    <w:p w14:paraId="40F5FEAC" w14:textId="77777777" w:rsidR="00FC6710" w:rsidRDefault="00FC6710" w:rsidP="00FC6710">
      <w:pPr>
        <w:pStyle w:val="Heading3"/>
      </w:pPr>
      <w:r w:rsidRPr="00FC6710">
        <w:t xml:space="preserve">Starting local market testing </w:t>
      </w:r>
    </w:p>
    <w:p w14:paraId="3837E965" w14:textId="0A8DFE42" w:rsidR="00FC6710" w:rsidRPr="008D77D6" w:rsidRDefault="00FC6710" w:rsidP="00FC6710">
      <w:pPr>
        <w:pStyle w:val="BodyText"/>
        <w:rPr>
          <w:shd w:val="clear" w:color="auto" w:fill="FFFFFF"/>
        </w:rPr>
      </w:pPr>
      <w:r w:rsidRPr="008D77D6">
        <w:rPr>
          <w:shd w:val="clear" w:color="auto" w:fill="FFFFFF"/>
        </w:rPr>
        <w:t xml:space="preserve">Local market testing involves taking reasonable steps to identify if any </w:t>
      </w:r>
      <w:r w:rsidR="00625DE8">
        <w:rPr>
          <w:shd w:val="clear" w:color="auto" w:fill="FFFFFF"/>
        </w:rPr>
        <w:t>NSW-based</w:t>
      </w:r>
      <w:r w:rsidRPr="008D77D6">
        <w:rPr>
          <w:shd w:val="clear" w:color="auto" w:fill="FFFFFF"/>
        </w:rPr>
        <w:t xml:space="preserve"> supplier or suppliers with the required capacity and capability can supply the goods or provide the services required by your agency. </w:t>
      </w:r>
    </w:p>
    <w:p w14:paraId="5401AA85" w14:textId="1FB92026" w:rsidR="00FC6710" w:rsidRPr="008D77D6" w:rsidRDefault="00FC6710" w:rsidP="00FC6710">
      <w:pPr>
        <w:pStyle w:val="BodyText"/>
        <w:rPr>
          <w:shd w:val="clear" w:color="auto" w:fill="FFFFFF"/>
        </w:rPr>
      </w:pPr>
      <w:r w:rsidRPr="008D77D6">
        <w:rPr>
          <w:shd w:val="clear" w:color="auto" w:fill="FFFFFF"/>
        </w:rPr>
        <w:t xml:space="preserve">The local market testing process should be proportionate to the scope and value of the procurement. </w:t>
      </w:r>
      <w:r w:rsidR="000D6708">
        <w:rPr>
          <w:shd w:val="clear" w:color="auto" w:fill="FFFFFF"/>
        </w:rPr>
        <w:t xml:space="preserve">Compliance with </w:t>
      </w:r>
      <w:r w:rsidR="000837C7">
        <w:rPr>
          <w:shd w:val="clear" w:color="auto" w:fill="FFFFFF"/>
        </w:rPr>
        <w:t>the local market testing component</w:t>
      </w:r>
      <w:r w:rsidR="000D6708">
        <w:rPr>
          <w:shd w:val="clear" w:color="auto" w:fill="FFFFFF"/>
        </w:rPr>
        <w:t xml:space="preserve"> of the Direction is focused on the actions taken to identify </w:t>
      </w:r>
      <w:r w:rsidR="00625DE8">
        <w:rPr>
          <w:shd w:val="clear" w:color="auto" w:fill="FFFFFF"/>
        </w:rPr>
        <w:t>NSW-based</w:t>
      </w:r>
      <w:r w:rsidR="000D6708">
        <w:rPr>
          <w:shd w:val="clear" w:color="auto" w:fill="FFFFFF"/>
        </w:rPr>
        <w:t xml:space="preserve"> suppliers. </w:t>
      </w:r>
    </w:p>
    <w:p w14:paraId="17426185" w14:textId="77777777" w:rsidR="00943294" w:rsidRDefault="00FC6710" w:rsidP="00FC6710">
      <w:pPr>
        <w:pStyle w:val="BodyText"/>
        <w:rPr>
          <w:shd w:val="clear" w:color="auto" w:fill="FFFFFF"/>
        </w:rPr>
      </w:pPr>
      <w:r w:rsidRPr="008D77D6">
        <w:rPr>
          <w:shd w:val="clear" w:color="auto" w:fill="FFFFFF"/>
        </w:rPr>
        <w:t>Reasonable steps could mean conducting desktop research, undertaking further market research, engaging with industry bodies or other activities up to issuing a request for information or seeking expressions of interest from the market.</w:t>
      </w:r>
    </w:p>
    <w:p w14:paraId="4F453B96" w14:textId="045FDF7B" w:rsidR="00FC6710" w:rsidRPr="008D77D6" w:rsidRDefault="00FC6710" w:rsidP="00FC6710">
      <w:pPr>
        <w:pStyle w:val="ListNumber"/>
        <w:rPr>
          <w:shd w:val="clear" w:color="auto" w:fill="FFFFFF"/>
        </w:rPr>
      </w:pPr>
      <w:r w:rsidRPr="008D77D6">
        <w:rPr>
          <w:shd w:val="clear" w:color="auto" w:fill="FFFFFF"/>
        </w:rPr>
        <w:t xml:space="preserve">Search for </w:t>
      </w:r>
      <w:r w:rsidR="00625DE8">
        <w:rPr>
          <w:shd w:val="clear" w:color="auto" w:fill="FFFFFF"/>
        </w:rPr>
        <w:t>NSW-based</w:t>
      </w:r>
      <w:r w:rsidRPr="008D77D6">
        <w:rPr>
          <w:shd w:val="clear" w:color="auto" w:fill="FFFFFF"/>
        </w:rPr>
        <w:t xml:space="preserve"> suppliers. This can be done through several sources, including:</w:t>
      </w:r>
    </w:p>
    <w:p w14:paraId="2E0BDB03" w14:textId="1627C829" w:rsidR="00FC6710" w:rsidRPr="008D77D6" w:rsidRDefault="00FC6710" w:rsidP="00FC6710">
      <w:pPr>
        <w:pStyle w:val="ListBullet2"/>
        <w:rPr>
          <w:shd w:val="clear" w:color="auto" w:fill="FFFFFF"/>
        </w:rPr>
      </w:pPr>
      <w:hyperlink r:id="rId11" w:history="1">
        <w:r w:rsidRPr="008D77D6">
          <w:rPr>
            <w:rStyle w:val="Hyperlink"/>
            <w:rFonts w:cs="Arial"/>
            <w:shd w:val="clear" w:color="auto" w:fill="FFFFFF"/>
          </w:rPr>
          <w:t>Supplier hub</w:t>
        </w:r>
      </w:hyperlink>
      <w:r w:rsidRPr="008D77D6">
        <w:rPr>
          <w:shd w:val="clear" w:color="auto" w:fill="FFFFFF"/>
        </w:rPr>
        <w:t>, which can be used to achieve multiple policy priorities as suppliers such as</w:t>
      </w:r>
      <w:r w:rsidR="00D04136">
        <w:rPr>
          <w:shd w:val="clear" w:color="auto" w:fill="FFFFFF"/>
        </w:rPr>
        <w:t xml:space="preserve"> </w:t>
      </w:r>
      <w:r w:rsidR="00625DE8">
        <w:rPr>
          <w:shd w:val="clear" w:color="auto" w:fill="FFFFFF"/>
        </w:rPr>
        <w:t>NSW-based</w:t>
      </w:r>
      <w:r w:rsidR="00D04136">
        <w:rPr>
          <w:shd w:val="clear" w:color="auto" w:fill="FFFFFF"/>
        </w:rPr>
        <w:t xml:space="preserve"> suppliers, </w:t>
      </w:r>
      <w:r w:rsidRPr="008D77D6">
        <w:rPr>
          <w:shd w:val="clear" w:color="auto" w:fill="FFFFFF"/>
        </w:rPr>
        <w:t>small and medium enterprises, Aboriginal businesses, social enterprises, and verified gender-equitable suppliers are tagged in the system.</w:t>
      </w:r>
      <w:r w:rsidRPr="008D77D6">
        <w:rPr>
          <w:rStyle w:val="FootnoteReference"/>
          <w:rFonts w:cs="Arial"/>
          <w:shd w:val="clear" w:color="auto" w:fill="FFFFFF"/>
        </w:rPr>
        <w:footnoteReference w:id="2"/>
      </w:r>
      <w:r w:rsidRPr="008D77D6">
        <w:rPr>
          <w:shd w:val="clear" w:color="auto" w:fill="FFFFFF"/>
        </w:rPr>
        <w:t xml:space="preserve"> Supplier hub </w:t>
      </w:r>
      <w:r w:rsidR="003271C5">
        <w:rPr>
          <w:shd w:val="clear" w:color="auto" w:fill="FFFFFF"/>
        </w:rPr>
        <w:t xml:space="preserve">now </w:t>
      </w:r>
      <w:r w:rsidRPr="008D77D6">
        <w:rPr>
          <w:shd w:val="clear" w:color="auto" w:fill="FFFFFF"/>
        </w:rPr>
        <w:t>provide</w:t>
      </w:r>
      <w:r w:rsidR="00810E3A">
        <w:rPr>
          <w:shd w:val="clear" w:color="auto" w:fill="FFFFFF"/>
        </w:rPr>
        <w:t>s</w:t>
      </w:r>
      <w:r w:rsidRPr="008D77D6">
        <w:rPr>
          <w:shd w:val="clear" w:color="auto" w:fill="FFFFFF"/>
        </w:rPr>
        <w:t xml:space="preserve"> </w:t>
      </w:r>
      <w:r w:rsidR="00C3182E">
        <w:rPr>
          <w:shd w:val="clear" w:color="auto" w:fill="FFFFFF"/>
        </w:rPr>
        <w:t>a tag for ‘NSW-based’</w:t>
      </w:r>
      <w:r w:rsidRPr="008D77D6">
        <w:rPr>
          <w:shd w:val="clear" w:color="auto" w:fill="FFFFFF"/>
        </w:rPr>
        <w:t>.</w:t>
      </w:r>
    </w:p>
    <w:p w14:paraId="35F1A9DC" w14:textId="0F369188" w:rsidR="00564321" w:rsidRPr="00564321" w:rsidRDefault="00FC6710">
      <w:pPr>
        <w:pStyle w:val="ListBullet3"/>
        <w:numPr>
          <w:ilvl w:val="0"/>
          <w:numId w:val="15"/>
        </w:numPr>
        <w:rPr>
          <w:rFonts w:cs="Arial"/>
        </w:rPr>
      </w:pPr>
      <w:r w:rsidRPr="008D77D6">
        <w:t>Identifying</w:t>
      </w:r>
      <w:r w:rsidR="00F87EB0">
        <w:t xml:space="preserve"> </w:t>
      </w:r>
      <w:r w:rsidR="00625DE8">
        <w:t>NSW-based</w:t>
      </w:r>
      <w:r w:rsidRPr="008D77D6">
        <w:t xml:space="preserve"> suppliers on whole-of-government arrangements, such as panels and prequalification schemes.</w:t>
      </w:r>
      <w:r w:rsidR="00A85D0F">
        <w:t xml:space="preserve"> </w:t>
      </w:r>
    </w:p>
    <w:p w14:paraId="17DDBCB0" w14:textId="6C18B3E3" w:rsidR="00FC6710" w:rsidRPr="000B4022" w:rsidRDefault="000B4022" w:rsidP="009E4786">
      <w:pPr>
        <w:pStyle w:val="ListBullet3"/>
        <w:numPr>
          <w:ilvl w:val="0"/>
          <w:numId w:val="0"/>
        </w:numPr>
        <w:ind w:left="717"/>
        <w:rPr>
          <w:rFonts w:cs="Arial"/>
        </w:rPr>
      </w:pPr>
      <w:r>
        <w:t xml:space="preserve">NOTE: where a whole-of-government arrangement is mandatory, </w:t>
      </w:r>
      <w:r w:rsidR="002D2AA9">
        <w:t xml:space="preserve">it is sufficient to review suppliers on the scheme or panel to identify </w:t>
      </w:r>
      <w:r w:rsidR="00625DE8">
        <w:t>NSW-based</w:t>
      </w:r>
      <w:r w:rsidR="002D2AA9">
        <w:t xml:space="preserve"> suppliers. If the scheme or panel is not mandated, a</w:t>
      </w:r>
      <w:r>
        <w:t xml:space="preserve">gencies </w:t>
      </w:r>
      <w:r w:rsidR="002D2AA9">
        <w:t xml:space="preserve">should </w:t>
      </w:r>
      <w:r>
        <w:t xml:space="preserve">use multiple sources to identify </w:t>
      </w:r>
      <w:r w:rsidR="00625DE8">
        <w:t>NSW-based</w:t>
      </w:r>
      <w:r>
        <w:t xml:space="preserve"> suppliers</w:t>
      </w:r>
      <w:r w:rsidR="002D2AA9">
        <w:t xml:space="preserve"> if there are no </w:t>
      </w:r>
      <w:r w:rsidR="00625DE8">
        <w:t>NSW-based</w:t>
      </w:r>
      <w:r w:rsidR="002D2AA9">
        <w:t xml:space="preserve"> suppliers on the scheme or panel</w:t>
      </w:r>
      <w:r>
        <w:t xml:space="preserve">. </w:t>
      </w:r>
    </w:p>
    <w:p w14:paraId="309C6110" w14:textId="77777777" w:rsidR="00FC6710" w:rsidRPr="008D77D6" w:rsidRDefault="00FC6710" w:rsidP="00FC6710">
      <w:pPr>
        <w:pStyle w:val="ListBullet2"/>
        <w:rPr>
          <w:shd w:val="clear" w:color="auto" w:fill="FFFFFF"/>
        </w:rPr>
      </w:pPr>
      <w:r w:rsidRPr="008D77D6">
        <w:rPr>
          <w:shd w:val="clear" w:color="auto" w:fill="FFFFFF"/>
        </w:rPr>
        <w:lastRenderedPageBreak/>
        <w:t>Desktop research, such as an online search and referring to industry-based registers or representative organisations</w:t>
      </w:r>
    </w:p>
    <w:p w14:paraId="7A447455" w14:textId="77777777" w:rsidR="00FC6710" w:rsidRPr="008D77D6" w:rsidRDefault="00FC6710" w:rsidP="00FC6710">
      <w:pPr>
        <w:pStyle w:val="ListBullet2"/>
        <w:rPr>
          <w:shd w:val="clear" w:color="auto" w:fill="FFFFFF"/>
        </w:rPr>
      </w:pPr>
      <w:r w:rsidRPr="008D77D6">
        <w:rPr>
          <w:shd w:val="clear" w:color="auto" w:fill="FFFFFF"/>
        </w:rPr>
        <w:t>Professional and industry networks, e.g. suppliers used by other agencies for similar projects</w:t>
      </w:r>
    </w:p>
    <w:p w14:paraId="2F2FD2B2" w14:textId="798A708B" w:rsidR="00FC6710" w:rsidRPr="00D970B7" w:rsidRDefault="00FC6710" w:rsidP="00FC6710">
      <w:pPr>
        <w:pStyle w:val="ListBullet2"/>
        <w:rPr>
          <w:rStyle w:val="Hyperlink"/>
          <w:rFonts w:cs="Arial"/>
          <w:color w:val="auto"/>
          <w:shd w:val="clear" w:color="auto" w:fill="FFFFFF"/>
        </w:rPr>
      </w:pPr>
      <w:r w:rsidRPr="008D77D6">
        <w:rPr>
          <w:shd w:val="clear" w:color="auto" w:fill="FFFFFF"/>
        </w:rPr>
        <w:t>Engaging with business support and industry bodies, e.g.</w:t>
      </w:r>
      <w:r w:rsidR="00BD7514">
        <w:rPr>
          <w:shd w:val="clear" w:color="auto" w:fill="FFFFFF"/>
        </w:rPr>
        <w:t xml:space="preserve"> the</w:t>
      </w:r>
      <w:hyperlink r:id="rId12" w:history="1">
        <w:r w:rsidRPr="009E4786">
          <w:rPr>
            <w:rStyle w:val="Hyperlink"/>
            <w:rFonts w:cs="Arial"/>
            <w:u w:val="none"/>
            <w:shd w:val="clear" w:color="auto" w:fill="FFFFFF"/>
          </w:rPr>
          <w:t xml:space="preserve"> </w:t>
        </w:r>
        <w:r w:rsidRPr="008D77D6">
          <w:rPr>
            <w:rStyle w:val="Hyperlink"/>
            <w:rFonts w:cs="Arial"/>
            <w:shd w:val="clear" w:color="auto" w:fill="FFFFFF"/>
          </w:rPr>
          <w:t>Industry Capability Network</w:t>
        </w:r>
      </w:hyperlink>
      <w:r w:rsidRPr="008D77D6">
        <w:rPr>
          <w:shd w:val="clear" w:color="auto" w:fill="FFFFFF"/>
        </w:rPr>
        <w:t xml:space="preserve"> or </w:t>
      </w:r>
      <w:hyperlink r:id="rId13" w:history="1">
        <w:proofErr w:type="spellStart"/>
        <w:r w:rsidRPr="008D77D6">
          <w:rPr>
            <w:rStyle w:val="Hyperlink"/>
            <w:rFonts w:cs="Arial"/>
            <w:shd w:val="clear" w:color="auto" w:fill="FFFFFF"/>
          </w:rPr>
          <w:t>Yarpa</w:t>
        </w:r>
        <w:proofErr w:type="spellEnd"/>
        <w:r w:rsidRPr="008D77D6">
          <w:rPr>
            <w:rStyle w:val="Hyperlink"/>
            <w:rFonts w:cs="Arial"/>
            <w:shd w:val="clear" w:color="auto" w:fill="FFFFFF"/>
          </w:rPr>
          <w:t xml:space="preserve"> Hub</w:t>
        </w:r>
      </w:hyperlink>
    </w:p>
    <w:p w14:paraId="58B2CD34" w14:textId="77777777" w:rsidR="00FC6710" w:rsidRPr="008D77D6" w:rsidRDefault="00FC6710" w:rsidP="00FC6710">
      <w:pPr>
        <w:pStyle w:val="ListBullet2"/>
      </w:pPr>
      <w:r w:rsidRPr="008D77D6">
        <w:t>Arranging supplier demonstrations or briefings for agency buyers</w:t>
      </w:r>
    </w:p>
    <w:p w14:paraId="5E773C39" w14:textId="77777777" w:rsidR="00FC6710" w:rsidRPr="008D77D6" w:rsidRDefault="00FC6710" w:rsidP="00FC6710">
      <w:pPr>
        <w:pStyle w:val="ListBullet2"/>
        <w:rPr>
          <w:shd w:val="clear" w:color="auto" w:fill="FFFFFF"/>
        </w:rPr>
      </w:pPr>
      <w:r w:rsidRPr="008D77D6">
        <w:rPr>
          <w:shd w:val="clear" w:color="auto" w:fill="FFFFFF"/>
        </w:rPr>
        <w:t>Issuing a request for information (RFI) to the market</w:t>
      </w:r>
      <w:r>
        <w:rPr>
          <w:shd w:val="clear" w:color="auto" w:fill="FFFFFF"/>
        </w:rPr>
        <w:t>.</w:t>
      </w:r>
    </w:p>
    <w:p w14:paraId="1F4E4BF9" w14:textId="77777777" w:rsidR="00FC6710" w:rsidRDefault="00FC6710" w:rsidP="00FC6710">
      <w:pPr>
        <w:pStyle w:val="ListBullet2"/>
      </w:pPr>
      <w:r w:rsidRPr="008D77D6">
        <w:t xml:space="preserve">Issuing an expression of interest (EOI) as part of a multi-stage procurement process. </w:t>
      </w:r>
    </w:p>
    <w:p w14:paraId="659EC92E" w14:textId="0AB9FCC3" w:rsidR="00D85B37" w:rsidRDefault="00092BED" w:rsidP="00D85B37">
      <w:pPr>
        <w:pStyle w:val="ListBullet2"/>
      </w:pPr>
      <w:r>
        <w:t xml:space="preserve">Issuing an open tender </w:t>
      </w:r>
      <w:r w:rsidR="001E23F5">
        <w:t xml:space="preserve">that is </w:t>
      </w:r>
      <w:r w:rsidR="001E23F5" w:rsidRPr="001E23F5">
        <w:t xml:space="preserve">advertised </w:t>
      </w:r>
      <w:r w:rsidR="002D2AA9">
        <w:t xml:space="preserve">publicly via the </w:t>
      </w:r>
      <w:proofErr w:type="spellStart"/>
      <w:r w:rsidR="002D2AA9">
        <w:t>eTendering</w:t>
      </w:r>
      <w:proofErr w:type="spellEnd"/>
      <w:r w:rsidR="002D2AA9">
        <w:t xml:space="preserve"> website </w:t>
      </w:r>
      <w:r w:rsidR="00BC05AF">
        <w:t xml:space="preserve">and </w:t>
      </w:r>
      <w:r w:rsidR="001E23F5" w:rsidRPr="001E23F5">
        <w:t>is open to any interested supplier.</w:t>
      </w:r>
      <w:r w:rsidR="002D2AA9">
        <w:t xml:space="preserve"> Agencies should ensure there </w:t>
      </w:r>
      <w:r w:rsidR="002D2AA9" w:rsidRPr="202B4ED4">
        <w:t xml:space="preserve">that </w:t>
      </w:r>
      <w:r w:rsidR="00625DE8">
        <w:t>NSW-based</w:t>
      </w:r>
      <w:r w:rsidR="002D2AA9" w:rsidRPr="202B4ED4">
        <w:t xml:space="preserve"> suppliers are not disadvantaged by the procurement specifications or conditions for participation.</w:t>
      </w:r>
    </w:p>
    <w:p w14:paraId="141705C7" w14:textId="1C226A88" w:rsidR="00D85B37" w:rsidRPr="008D77D6" w:rsidRDefault="00D85B37" w:rsidP="002C0FC8">
      <w:pPr>
        <w:pStyle w:val="ListBullet2"/>
        <w:numPr>
          <w:ilvl w:val="0"/>
          <w:numId w:val="0"/>
        </w:numPr>
        <w:ind w:left="357"/>
      </w:pPr>
      <w:r>
        <w:t xml:space="preserve">Agencies are encouraged to use multiple methods if no </w:t>
      </w:r>
      <w:r w:rsidR="00625DE8">
        <w:t>NSW-based</w:t>
      </w:r>
      <w:r>
        <w:t xml:space="preserve"> suppliers are found </w:t>
      </w:r>
      <w:r w:rsidR="002D2AA9">
        <w:t xml:space="preserve">when using </w:t>
      </w:r>
      <w:r>
        <w:t xml:space="preserve">a particular </w:t>
      </w:r>
      <w:r w:rsidR="002D2AA9">
        <w:t>approach</w:t>
      </w:r>
      <w:r>
        <w:t xml:space="preserve">. </w:t>
      </w:r>
    </w:p>
    <w:p w14:paraId="19C54D33" w14:textId="77777777" w:rsidR="00FC6710" w:rsidRPr="008D77D6" w:rsidRDefault="00FC6710" w:rsidP="00FC6710">
      <w:pPr>
        <w:pStyle w:val="ListNumber"/>
        <w:spacing w:before="240"/>
      </w:pPr>
      <w:r w:rsidRPr="008D77D6">
        <w:rPr>
          <w:shd w:val="clear" w:color="auto" w:fill="FFFFFF"/>
        </w:rPr>
        <w:t>Verify supplier details and confirm the supplier(s) is ‘NSW-based’</w:t>
      </w:r>
      <w:r>
        <w:rPr>
          <w:shd w:val="clear" w:color="auto" w:fill="FFFFFF"/>
        </w:rPr>
        <w:t xml:space="preserve"> on the</w:t>
      </w:r>
      <w:r w:rsidRPr="008D77D6">
        <w:t xml:space="preserve"> </w:t>
      </w:r>
      <w:hyperlink r:id="rId14" w:history="1">
        <w:r w:rsidRPr="00D970B7">
          <w:rPr>
            <w:rStyle w:val="Hyperlink"/>
            <w:rFonts w:cs="Arial"/>
            <w:shd w:val="clear" w:color="auto" w:fill="FFFFFF"/>
          </w:rPr>
          <w:t>Australian Business Register</w:t>
        </w:r>
      </w:hyperlink>
      <w:r>
        <w:t xml:space="preserve"> and confirm: </w:t>
      </w:r>
    </w:p>
    <w:p w14:paraId="412F6AC7" w14:textId="77777777" w:rsidR="00FC6710" w:rsidRPr="008D77D6" w:rsidRDefault="00FC6710" w:rsidP="00FC6710">
      <w:pPr>
        <w:pStyle w:val="ListBullet2"/>
      </w:pPr>
      <w:r w:rsidRPr="008D77D6">
        <w:t>the supplier’s ABN is active</w:t>
      </w:r>
    </w:p>
    <w:p w14:paraId="27AA7BC2" w14:textId="688BDEEA" w:rsidR="00EC37AD" w:rsidRPr="008D77D6" w:rsidRDefault="00FC6710" w:rsidP="00BF4BBA">
      <w:pPr>
        <w:pStyle w:val="ListBullet2"/>
      </w:pPr>
      <w:r w:rsidRPr="008D77D6">
        <w:t xml:space="preserve">the supplier’s registered </w:t>
      </w:r>
      <w:r w:rsidR="00B91E90">
        <w:t>‘</w:t>
      </w:r>
      <w:r w:rsidRPr="008D77D6">
        <w:t xml:space="preserve">main </w:t>
      </w:r>
      <w:r w:rsidR="002F0F43">
        <w:t xml:space="preserve">business </w:t>
      </w:r>
      <w:r w:rsidR="00DD3ABB">
        <w:t>location</w:t>
      </w:r>
      <w:r w:rsidRPr="008D77D6">
        <w:t xml:space="preserve">’ </w:t>
      </w:r>
      <w:r w:rsidR="00B91E90">
        <w:t>i</w:t>
      </w:r>
      <w:r>
        <w:t xml:space="preserve">s </w:t>
      </w:r>
      <w:r w:rsidR="00B91E90">
        <w:t xml:space="preserve">identified as NSW and has </w:t>
      </w:r>
      <w:proofErr w:type="gramStart"/>
      <w:r w:rsidRPr="008D77D6">
        <w:t>a</w:t>
      </w:r>
      <w:proofErr w:type="gramEnd"/>
      <w:r w:rsidRPr="008D77D6">
        <w:t xml:space="preserve"> NSW postcode</w:t>
      </w:r>
      <w:r w:rsidR="00734496">
        <w:t>.</w:t>
      </w:r>
      <w:r w:rsidRPr="008D77D6">
        <w:t xml:space="preserve"> </w:t>
      </w:r>
    </w:p>
    <w:p w14:paraId="16262E0D" w14:textId="6F5DA4E4" w:rsidR="00FC6710" w:rsidRDefault="00FC6710" w:rsidP="001E77E3">
      <w:pPr>
        <w:pStyle w:val="BodyText"/>
        <w:rPr>
          <w:shd w:val="clear" w:color="auto" w:fill="FFFFFF"/>
        </w:rPr>
      </w:pPr>
      <w:r w:rsidRPr="00D970B7">
        <w:rPr>
          <w:shd w:val="clear" w:color="auto" w:fill="FFFFFF"/>
        </w:rPr>
        <w:t xml:space="preserve">Agencies must complete this step to ensure suppliers meet the definition of </w:t>
      </w:r>
      <w:proofErr w:type="gramStart"/>
      <w:r w:rsidRPr="00D970B7">
        <w:rPr>
          <w:shd w:val="clear" w:color="auto" w:fill="FFFFFF"/>
        </w:rPr>
        <w:t>a</w:t>
      </w:r>
      <w:proofErr w:type="gramEnd"/>
      <w:r w:rsidRPr="00D970B7">
        <w:rPr>
          <w:shd w:val="clear" w:color="auto" w:fill="FFFFFF"/>
        </w:rPr>
        <w:t xml:space="preserve"> </w:t>
      </w:r>
      <w:r w:rsidR="00625DE8">
        <w:rPr>
          <w:shd w:val="clear" w:color="auto" w:fill="FFFFFF"/>
        </w:rPr>
        <w:t>NSW-based</w:t>
      </w:r>
      <w:r w:rsidRPr="00D970B7">
        <w:rPr>
          <w:shd w:val="clear" w:color="auto" w:fill="FFFFFF"/>
        </w:rPr>
        <w:t xml:space="preserve"> supplier under the </w:t>
      </w:r>
      <w:r>
        <w:rPr>
          <w:shd w:val="clear" w:color="auto" w:fill="FFFFFF"/>
        </w:rPr>
        <w:t>direction</w:t>
      </w:r>
      <w:r w:rsidRPr="00D970B7">
        <w:rPr>
          <w:shd w:val="clear" w:color="auto" w:fill="FFFFFF"/>
        </w:rPr>
        <w:t xml:space="preserve">. </w:t>
      </w:r>
    </w:p>
    <w:p w14:paraId="024E3E74" w14:textId="7673C7A9" w:rsidR="00FC6710" w:rsidRDefault="00FC6710" w:rsidP="00FC6710">
      <w:pPr>
        <w:pStyle w:val="BodyText"/>
      </w:pPr>
      <w:r w:rsidRPr="008D77D6">
        <w:t xml:space="preserve">(NB the Australian Business Registrar requires the main </w:t>
      </w:r>
      <w:r w:rsidR="00527FB1">
        <w:t>business location</w:t>
      </w:r>
      <w:r w:rsidRPr="008D77D6">
        <w:t xml:space="preserve"> to be a physical address. Suppliers provide separate details, such as an accountant’s address, to receive notices or correspondence from the Registrar. There are penalties for entering misleading or inaccurate data on the Register.)</w:t>
      </w:r>
    </w:p>
    <w:p w14:paraId="752975A8" w14:textId="0F856A0C" w:rsidR="0051398B" w:rsidRPr="008D77D6" w:rsidRDefault="0051398B" w:rsidP="00FC6710">
      <w:pPr>
        <w:pStyle w:val="BodyText"/>
        <w:rPr>
          <w:shd w:val="clear" w:color="auto" w:fill="FFFFFF"/>
        </w:rPr>
      </w:pPr>
      <w:r>
        <w:t xml:space="preserve">NOTE: </w:t>
      </w:r>
      <w:r w:rsidR="007C6E42">
        <w:t xml:space="preserve">Local market testing is an initial step </w:t>
      </w:r>
      <w:r w:rsidR="00156F61">
        <w:t xml:space="preserve">to prepare agencies to support </w:t>
      </w:r>
      <w:r w:rsidR="007C6E42">
        <w:t>more targeted upcoming local content reforms.</w:t>
      </w:r>
      <w:r w:rsidR="00156F61">
        <w:t xml:space="preserve"> </w:t>
      </w:r>
      <w:r>
        <w:t xml:space="preserve">The definition of ‘local’ under this Direction is </w:t>
      </w:r>
      <w:proofErr w:type="gramStart"/>
      <w:r w:rsidR="00DF37B9">
        <w:t>a</w:t>
      </w:r>
      <w:proofErr w:type="gramEnd"/>
      <w:r w:rsidR="00DF37B9">
        <w:t xml:space="preserve"> </w:t>
      </w:r>
      <w:r>
        <w:t>NSW</w:t>
      </w:r>
      <w:r w:rsidR="00DF37B9">
        <w:t>-based supplier,</w:t>
      </w:r>
      <w:r>
        <w:t xml:space="preserve"> whereas the definition of ‘local’ under the upcoming local content policy will be </w:t>
      </w:r>
      <w:r w:rsidR="00DF37B9">
        <w:t xml:space="preserve">an </w:t>
      </w:r>
      <w:r>
        <w:t>Australia</w:t>
      </w:r>
      <w:r w:rsidR="00DF37B9">
        <w:t>n</w:t>
      </w:r>
      <w:r>
        <w:t xml:space="preserve"> and New Zealand</w:t>
      </w:r>
      <w:r w:rsidR="00DF37B9">
        <w:t>-based supplier</w:t>
      </w:r>
      <w:r>
        <w:t xml:space="preserve">. </w:t>
      </w:r>
    </w:p>
    <w:p w14:paraId="0EBE96C0" w14:textId="75B035D3" w:rsidR="00FC6710" w:rsidRPr="00FC6710" w:rsidRDefault="00FC6710" w:rsidP="00FC6710">
      <w:pPr>
        <w:pStyle w:val="Heading3"/>
      </w:pPr>
      <w:r w:rsidRPr="00FC6710">
        <w:t xml:space="preserve">Determining if </w:t>
      </w:r>
      <w:proofErr w:type="gramStart"/>
      <w:r w:rsidRPr="00FC6710">
        <w:t>a</w:t>
      </w:r>
      <w:proofErr w:type="gramEnd"/>
      <w:r w:rsidRPr="00FC6710">
        <w:t xml:space="preserve"> </w:t>
      </w:r>
      <w:r w:rsidR="00625DE8">
        <w:t>NSW-based</w:t>
      </w:r>
      <w:r w:rsidRPr="00FC6710">
        <w:t xml:space="preserve"> supplier has the required capability and capacity </w:t>
      </w:r>
    </w:p>
    <w:p w14:paraId="40A9F67B" w14:textId="040DE8DA" w:rsidR="00FC6710" w:rsidRPr="008D77D6" w:rsidRDefault="00FC6710" w:rsidP="00FC6710">
      <w:pPr>
        <w:pStyle w:val="BodyText"/>
        <w:rPr>
          <w:shd w:val="clear" w:color="auto" w:fill="FFFFFF"/>
        </w:rPr>
      </w:pPr>
      <w:r w:rsidRPr="008D77D6">
        <w:rPr>
          <w:shd w:val="clear" w:color="auto" w:fill="FFFFFF"/>
        </w:rPr>
        <w:t xml:space="preserve">The objective of the </w:t>
      </w:r>
      <w:r>
        <w:rPr>
          <w:shd w:val="clear" w:color="auto" w:fill="FFFFFF"/>
        </w:rPr>
        <w:t>direction</w:t>
      </w:r>
      <w:r w:rsidRPr="008D77D6">
        <w:rPr>
          <w:shd w:val="clear" w:color="auto" w:fill="FFFFFF"/>
        </w:rPr>
        <w:t xml:space="preserve"> is to ensure </w:t>
      </w:r>
      <w:r w:rsidR="00625DE8">
        <w:rPr>
          <w:shd w:val="clear" w:color="auto" w:fill="FFFFFF"/>
        </w:rPr>
        <w:t>NSW-based</w:t>
      </w:r>
      <w:r w:rsidRPr="008D77D6">
        <w:rPr>
          <w:shd w:val="clear" w:color="auto" w:fill="FFFFFF"/>
        </w:rPr>
        <w:t xml:space="preserve"> suppliers that can fulfil the needs of the procurement are provided full and fair opportunity to participate in government procurement processes. </w:t>
      </w:r>
    </w:p>
    <w:p w14:paraId="5361960A" w14:textId="00E2B51B" w:rsidR="00FC6710" w:rsidRPr="008D77D6" w:rsidRDefault="00FC6710" w:rsidP="00FC6710">
      <w:pPr>
        <w:pStyle w:val="BodyText"/>
        <w:rPr>
          <w:shd w:val="clear" w:color="auto" w:fill="FFFFFF"/>
        </w:rPr>
      </w:pPr>
      <w:r w:rsidRPr="008D77D6">
        <w:rPr>
          <w:shd w:val="clear" w:color="auto" w:fill="FFFFFF"/>
        </w:rPr>
        <w:t xml:space="preserve">Although </w:t>
      </w:r>
      <w:r w:rsidR="003567DD">
        <w:rPr>
          <w:shd w:val="clear" w:color="auto" w:fill="FFFFFF"/>
        </w:rPr>
        <w:t>l</w:t>
      </w:r>
      <w:r w:rsidR="003567DD" w:rsidRPr="008D77D6">
        <w:rPr>
          <w:shd w:val="clear" w:color="auto" w:fill="FFFFFF"/>
        </w:rPr>
        <w:t xml:space="preserve">ocal </w:t>
      </w:r>
      <w:r w:rsidR="003567DD">
        <w:rPr>
          <w:shd w:val="clear" w:color="auto" w:fill="FFFFFF"/>
        </w:rPr>
        <w:t>m</w:t>
      </w:r>
      <w:r w:rsidR="003567DD" w:rsidRPr="008D77D6">
        <w:rPr>
          <w:shd w:val="clear" w:color="auto" w:fill="FFFFFF"/>
        </w:rPr>
        <w:t xml:space="preserve">arket </w:t>
      </w:r>
      <w:r w:rsidR="003567DD">
        <w:rPr>
          <w:shd w:val="clear" w:color="auto" w:fill="FFFFFF"/>
        </w:rPr>
        <w:t>t</w:t>
      </w:r>
      <w:r w:rsidR="003567DD" w:rsidRPr="008D77D6">
        <w:rPr>
          <w:shd w:val="clear" w:color="auto" w:fill="FFFFFF"/>
        </w:rPr>
        <w:t>esting</w:t>
      </w:r>
      <w:r w:rsidRPr="008D77D6">
        <w:rPr>
          <w:shd w:val="clear" w:color="auto" w:fill="FFFFFF"/>
        </w:rPr>
        <w:t xml:space="preserve"> is not an evaluation process, it may be helpful to consider possible tender evaluation criteria as they apply to the specific procurement, such as any licensing or qualification requirements, compliance with relevant standards, or work, health and safety requirements. Some of this information may be available from public sources such as through licensing bodies or the supplier’s website.</w:t>
      </w:r>
    </w:p>
    <w:p w14:paraId="61C5D0CD" w14:textId="77777777" w:rsidR="00FC6710" w:rsidRPr="008D77D6" w:rsidRDefault="00FC6710" w:rsidP="00FC6710">
      <w:pPr>
        <w:pStyle w:val="BodyText"/>
        <w:rPr>
          <w:shd w:val="clear" w:color="auto" w:fill="FFFFFF"/>
        </w:rPr>
      </w:pPr>
      <w:r w:rsidRPr="008D77D6">
        <w:rPr>
          <w:shd w:val="clear" w:color="auto" w:fill="FFFFFF"/>
        </w:rPr>
        <w:t xml:space="preserve">Agencies should use their judgement and determine the appropriate approach to determining capability and capacity, and the level of detail required, depending on the scope and value of the procurement. </w:t>
      </w:r>
    </w:p>
    <w:p w14:paraId="7CE83A23" w14:textId="3FC3C428" w:rsidR="00FC6710" w:rsidRPr="008D77D6" w:rsidRDefault="00FB480C" w:rsidP="00FC6710">
      <w:pPr>
        <w:pStyle w:val="BodyText"/>
        <w:rPr>
          <w:shd w:val="clear" w:color="auto" w:fill="FFFFFF"/>
        </w:rPr>
      </w:pPr>
      <w:r>
        <w:rPr>
          <w:shd w:val="clear" w:color="auto" w:fill="FFFFFF"/>
        </w:rPr>
        <w:t xml:space="preserve">Where </w:t>
      </w:r>
      <w:r w:rsidR="003678DF">
        <w:rPr>
          <w:shd w:val="clear" w:color="auto" w:fill="FFFFFF"/>
        </w:rPr>
        <w:t>feasible</w:t>
      </w:r>
      <w:r>
        <w:rPr>
          <w:shd w:val="clear" w:color="auto" w:fill="FFFFFF"/>
        </w:rPr>
        <w:t>, agencies can</w:t>
      </w:r>
      <w:r w:rsidR="00FA7EE2">
        <w:rPr>
          <w:shd w:val="clear" w:color="auto" w:fill="FFFFFF"/>
        </w:rPr>
        <w:t xml:space="preserve"> </w:t>
      </w:r>
      <w:r w:rsidR="00FC6710" w:rsidRPr="008D77D6">
        <w:rPr>
          <w:shd w:val="clear" w:color="auto" w:fill="FFFFFF"/>
        </w:rPr>
        <w:t xml:space="preserve">invite </w:t>
      </w:r>
      <w:r w:rsidR="00625DE8">
        <w:rPr>
          <w:shd w:val="clear" w:color="auto" w:fill="FFFFFF"/>
        </w:rPr>
        <w:t>NSW-based</w:t>
      </w:r>
      <w:r w:rsidR="00FC6710" w:rsidRPr="008D77D6">
        <w:rPr>
          <w:shd w:val="clear" w:color="auto" w:fill="FFFFFF"/>
        </w:rPr>
        <w:t xml:space="preserve"> suppliers to participate during the approach to market (e.g. Request for Quotation (RFQ) or Request for Tender (RFT)</w:t>
      </w:r>
      <w:r w:rsidR="000A3BA2" w:rsidRPr="008D77D6">
        <w:rPr>
          <w:shd w:val="clear" w:color="auto" w:fill="FFFFFF"/>
        </w:rPr>
        <w:t>) and</w:t>
      </w:r>
      <w:r w:rsidR="00FC6710" w:rsidRPr="008D77D6">
        <w:rPr>
          <w:shd w:val="clear" w:color="auto" w:fill="FFFFFF"/>
        </w:rPr>
        <w:t xml:space="preserve"> establish capability and </w:t>
      </w:r>
      <w:r w:rsidR="00FC6710" w:rsidRPr="008D77D6">
        <w:rPr>
          <w:shd w:val="clear" w:color="auto" w:fill="FFFFFF"/>
        </w:rPr>
        <w:lastRenderedPageBreak/>
        <w:t xml:space="preserve">capacity via the formal evaluation. </w:t>
      </w:r>
      <w:r w:rsidR="00644A78">
        <w:rPr>
          <w:shd w:val="clear" w:color="auto" w:fill="FFFFFF"/>
        </w:rPr>
        <w:t xml:space="preserve">Procurement officers should invite </w:t>
      </w:r>
      <w:r w:rsidR="00922326">
        <w:rPr>
          <w:shd w:val="clear" w:color="auto" w:fill="FFFFFF"/>
        </w:rPr>
        <w:t>suppliers</w:t>
      </w:r>
      <w:r w:rsidR="00C33E54">
        <w:rPr>
          <w:shd w:val="clear" w:color="auto" w:fill="FFFFFF"/>
        </w:rPr>
        <w:t xml:space="preserve"> to ten</w:t>
      </w:r>
      <w:r w:rsidR="007B5F18">
        <w:rPr>
          <w:shd w:val="clear" w:color="auto" w:fill="FFFFFF"/>
        </w:rPr>
        <w:t>der that they have</w:t>
      </w:r>
      <w:r w:rsidR="00922326">
        <w:rPr>
          <w:shd w:val="clear" w:color="auto" w:fill="FFFFFF"/>
        </w:rPr>
        <w:t xml:space="preserve"> </w:t>
      </w:r>
      <w:r w:rsidR="00F2468B">
        <w:rPr>
          <w:shd w:val="clear" w:color="auto" w:fill="FFFFFF"/>
        </w:rPr>
        <w:t xml:space="preserve">determined </w:t>
      </w:r>
      <w:r w:rsidR="007B5F18">
        <w:rPr>
          <w:shd w:val="clear" w:color="auto" w:fill="FFFFFF"/>
        </w:rPr>
        <w:t xml:space="preserve">are </w:t>
      </w:r>
      <w:r w:rsidR="0092179E">
        <w:rPr>
          <w:shd w:val="clear" w:color="auto" w:fill="FFFFFF"/>
        </w:rPr>
        <w:t xml:space="preserve">likely </w:t>
      </w:r>
      <w:r w:rsidR="007B5F18">
        <w:rPr>
          <w:shd w:val="clear" w:color="auto" w:fill="FFFFFF"/>
        </w:rPr>
        <w:t xml:space="preserve">to </w:t>
      </w:r>
      <w:r w:rsidR="00922326">
        <w:rPr>
          <w:shd w:val="clear" w:color="auto" w:fill="FFFFFF"/>
        </w:rPr>
        <w:t xml:space="preserve">have the </w:t>
      </w:r>
      <w:r w:rsidR="00F24E3E">
        <w:rPr>
          <w:shd w:val="clear" w:color="auto" w:fill="FFFFFF"/>
        </w:rPr>
        <w:t xml:space="preserve">capability and capacity </w:t>
      </w:r>
      <w:r w:rsidR="00644A78">
        <w:rPr>
          <w:shd w:val="clear" w:color="auto" w:fill="FFFFFF"/>
        </w:rPr>
        <w:t xml:space="preserve">to </w:t>
      </w:r>
      <w:r w:rsidR="009B31E4">
        <w:rPr>
          <w:shd w:val="clear" w:color="auto" w:fill="FFFFFF"/>
        </w:rPr>
        <w:t>fulfil the needs of the procurement</w:t>
      </w:r>
      <w:r w:rsidR="00644A78">
        <w:rPr>
          <w:shd w:val="clear" w:color="auto" w:fill="FFFFFF"/>
        </w:rPr>
        <w:t xml:space="preserve">. </w:t>
      </w:r>
    </w:p>
    <w:p w14:paraId="740B3F9B" w14:textId="77777777" w:rsidR="00FC6710" w:rsidRPr="00BF4BBA" w:rsidRDefault="00FC6710" w:rsidP="00FC6710">
      <w:pPr>
        <w:pStyle w:val="Heading3"/>
      </w:pPr>
      <w:r w:rsidRPr="00BF4BBA">
        <w:t>Examples of reasonable efforts</w:t>
      </w:r>
    </w:p>
    <w:p w14:paraId="6E9416EA" w14:textId="77777777" w:rsidR="00FC6710" w:rsidRPr="00FC6710" w:rsidRDefault="00FC6710" w:rsidP="00FC6710">
      <w:pPr>
        <w:pStyle w:val="ListNumber"/>
        <w:numPr>
          <w:ilvl w:val="0"/>
          <w:numId w:val="9"/>
        </w:numPr>
        <w:rPr>
          <w:shd w:val="clear" w:color="auto" w:fill="FFFFFF"/>
        </w:rPr>
      </w:pPr>
      <w:r w:rsidRPr="008D77D6">
        <w:t>Where an agency is conducting a procurement for professional services (excluding consultancies) with an estimated budget of $8 million, reasonable and proportionate actions might include desktop research and consulting with networks and industry.</w:t>
      </w:r>
    </w:p>
    <w:p w14:paraId="424007B8" w14:textId="77777777" w:rsidR="00FC6710" w:rsidRPr="002C6B90" w:rsidRDefault="00FC6710" w:rsidP="00FC6710">
      <w:pPr>
        <w:pStyle w:val="ListNumber"/>
        <w:rPr>
          <w:shd w:val="clear" w:color="auto" w:fill="FFFFFF"/>
        </w:rPr>
      </w:pPr>
      <w:r w:rsidRPr="008D77D6">
        <w:t xml:space="preserve">Where an agency is procuring for </w:t>
      </w:r>
      <w:r w:rsidRPr="008D77D6">
        <w:rPr>
          <w:shd w:val="clear" w:color="auto" w:fill="FFFFFF"/>
        </w:rPr>
        <w:t>construction services</w:t>
      </w:r>
      <w:r w:rsidRPr="008D77D6">
        <w:t xml:space="preserve"> with an estimated value of $55 million, it may be reasonable to issue a request for information (RFI) or an expression of interest (EOI). In this instance, such action may be in accordance with the agency’s procurement rules, as the procurement is greater than $50 million, but also, the complex and bespoke nature of the requirements necessitate understanding market interest in tendering. </w:t>
      </w:r>
    </w:p>
    <w:p w14:paraId="2282A28A" w14:textId="77777777" w:rsidR="005D06E8" w:rsidRPr="005F2B60" w:rsidRDefault="005D06E8" w:rsidP="002C6B90">
      <w:pPr>
        <w:pStyle w:val="ListNumber"/>
        <w:numPr>
          <w:ilvl w:val="0"/>
          <w:numId w:val="0"/>
        </w:numPr>
        <w:rPr>
          <w:shd w:val="clear" w:color="auto" w:fill="FFFFFF"/>
        </w:rPr>
      </w:pPr>
    </w:p>
    <w:p w14:paraId="46E7DCEF" w14:textId="7307FEF2" w:rsidR="00E34C72" w:rsidRPr="000A3BA2" w:rsidRDefault="00E34C72" w:rsidP="002C6B90">
      <w:pPr>
        <w:pStyle w:val="Heading2"/>
        <w:rPr>
          <w:shd w:val="clear" w:color="auto" w:fill="FFFFFF"/>
        </w:rPr>
      </w:pPr>
      <w:r>
        <w:t>Agency recordkeeping requirements</w:t>
      </w:r>
    </w:p>
    <w:p w14:paraId="4AD1F44D" w14:textId="5449039A" w:rsidR="00BF4BBA" w:rsidRPr="00BF4BBA" w:rsidRDefault="0058578D" w:rsidP="000A3BA2">
      <w:pPr>
        <w:pStyle w:val="Heading3"/>
      </w:pPr>
      <w:r>
        <w:t xml:space="preserve">Planning: </w:t>
      </w:r>
      <w:r w:rsidR="00BF4BBA">
        <w:t>Record</w:t>
      </w:r>
      <w:r w:rsidR="00A87139">
        <w:t>ing</w:t>
      </w:r>
      <w:r w:rsidR="00BF4BBA">
        <w:t xml:space="preserve"> </w:t>
      </w:r>
      <w:r w:rsidR="007976AC">
        <w:t xml:space="preserve">steps taken to identify </w:t>
      </w:r>
      <w:r w:rsidR="00625DE8">
        <w:t>NSW-based</w:t>
      </w:r>
      <w:r w:rsidR="007976AC">
        <w:t xml:space="preserve"> suppliers</w:t>
      </w:r>
    </w:p>
    <w:p w14:paraId="064556F7" w14:textId="31B109BC" w:rsidR="007976AC" w:rsidRDefault="007976AC" w:rsidP="007976AC">
      <w:pPr>
        <w:pStyle w:val="BodyText"/>
        <w:rPr>
          <w:shd w:val="clear" w:color="auto" w:fill="FFFFFF"/>
        </w:rPr>
      </w:pPr>
      <w:r>
        <w:rPr>
          <w:shd w:val="clear" w:color="auto" w:fill="FFFFFF"/>
        </w:rPr>
        <w:t>Agenc</w:t>
      </w:r>
      <w:r w:rsidR="00E34C72">
        <w:rPr>
          <w:shd w:val="clear" w:color="auto" w:fill="FFFFFF"/>
        </w:rPr>
        <w:t>y buyers must</w:t>
      </w:r>
      <w:r>
        <w:rPr>
          <w:shd w:val="clear" w:color="auto" w:fill="FFFFFF"/>
        </w:rPr>
        <w:t xml:space="preserve"> record in procurement plans the steps that have been, or are intended to be, taken to identify </w:t>
      </w:r>
      <w:r w:rsidR="00625DE8">
        <w:rPr>
          <w:shd w:val="clear" w:color="auto" w:fill="FFFFFF"/>
        </w:rPr>
        <w:t>NSW-based</w:t>
      </w:r>
      <w:r>
        <w:rPr>
          <w:shd w:val="clear" w:color="auto" w:fill="FFFFFF"/>
        </w:rPr>
        <w:t xml:space="preserve"> suppliers. </w:t>
      </w:r>
    </w:p>
    <w:p w14:paraId="2FD64A37" w14:textId="21E19B87" w:rsidR="00ED1BA9" w:rsidRDefault="00ED1BA9" w:rsidP="007976AC">
      <w:pPr>
        <w:pStyle w:val="BodyText"/>
      </w:pPr>
      <w:r w:rsidRPr="008D77D6">
        <w:t xml:space="preserve">This information </w:t>
      </w:r>
      <w:r>
        <w:t>sh</w:t>
      </w:r>
      <w:r w:rsidRPr="008D77D6">
        <w:t xml:space="preserve">ould include a summary of steps taken to identify </w:t>
      </w:r>
      <w:r w:rsidR="00625DE8">
        <w:t>NSW-based</w:t>
      </w:r>
      <w:r w:rsidRPr="008D77D6">
        <w:t xml:space="preserve"> suppliers, how capability and capacity were determined and </w:t>
      </w:r>
      <w:proofErr w:type="gramStart"/>
      <w:r w:rsidR="003B0DEF">
        <w:t>whether or not</w:t>
      </w:r>
      <w:proofErr w:type="gramEnd"/>
      <w:r w:rsidRPr="008D77D6">
        <w:t xml:space="preserve"> </w:t>
      </w:r>
      <w:r w:rsidR="00625DE8">
        <w:t>NSW-based</w:t>
      </w:r>
      <w:r w:rsidRPr="008D77D6">
        <w:t xml:space="preserve"> suppliers were found.</w:t>
      </w:r>
    </w:p>
    <w:p w14:paraId="79C30D2A" w14:textId="2236CA9E" w:rsidR="00ED1BA9" w:rsidRPr="008D77D6" w:rsidRDefault="00ED1BA9" w:rsidP="00ED1BA9">
      <w:pPr>
        <w:pStyle w:val="BodyText"/>
      </w:pPr>
      <w:r>
        <w:t xml:space="preserve">Where local market testing will be undertaken through an </w:t>
      </w:r>
      <w:proofErr w:type="spellStart"/>
      <w:r>
        <w:t>Rfx</w:t>
      </w:r>
      <w:proofErr w:type="spellEnd"/>
      <w:r>
        <w:t xml:space="preserve"> or EOI, </w:t>
      </w:r>
      <w:r w:rsidR="00192114">
        <w:t xml:space="preserve">agencies should record </w:t>
      </w:r>
      <w:r w:rsidR="008C02D5">
        <w:t>the</w:t>
      </w:r>
      <w:r w:rsidR="00192114">
        <w:t>ir</w:t>
      </w:r>
      <w:r w:rsidR="008C02D5">
        <w:t xml:space="preserve"> intention to conduct local market testing in the sourcing stage </w:t>
      </w:r>
      <w:r w:rsidR="00192114">
        <w:t>and identify the proposed process</w:t>
      </w:r>
      <w:r w:rsidR="003A4BB4">
        <w:t xml:space="preserve"> in the procurement plan (such as the strategy, business case or other planning document)</w:t>
      </w:r>
      <w:r w:rsidR="008C02D5">
        <w:t xml:space="preserve">. </w:t>
      </w:r>
    </w:p>
    <w:p w14:paraId="7926DF13" w14:textId="67185A24" w:rsidR="00FC6710" w:rsidRPr="00D970B7" w:rsidRDefault="0058578D" w:rsidP="009E4786">
      <w:pPr>
        <w:pStyle w:val="Heading3"/>
      </w:pPr>
      <w:bookmarkStart w:id="9" w:name="_Toc178600212"/>
      <w:bookmarkStart w:id="10" w:name="_Toc178600276"/>
      <w:bookmarkStart w:id="11" w:name="_Toc178600277"/>
      <w:bookmarkEnd w:id="9"/>
      <w:bookmarkEnd w:id="10"/>
      <w:r>
        <w:t xml:space="preserve">Contract award: </w:t>
      </w:r>
      <w:r w:rsidR="00FC6710" w:rsidRPr="00D970B7">
        <w:t xml:space="preserve">Recording reasons for not selecting </w:t>
      </w:r>
      <w:proofErr w:type="gramStart"/>
      <w:r w:rsidR="00FC6710" w:rsidRPr="00D970B7">
        <w:t>a</w:t>
      </w:r>
      <w:proofErr w:type="gramEnd"/>
      <w:r w:rsidR="00FC6710" w:rsidRPr="00D970B7">
        <w:t xml:space="preserve"> </w:t>
      </w:r>
      <w:r w:rsidR="00625DE8">
        <w:t>NSW-based</w:t>
      </w:r>
      <w:r w:rsidR="00FC6710" w:rsidRPr="00D970B7">
        <w:t xml:space="preserve"> supplier during the decision-making process</w:t>
      </w:r>
      <w:bookmarkEnd w:id="11"/>
      <w:r w:rsidR="00FC6710" w:rsidRPr="00D970B7">
        <w:t xml:space="preserve"> </w:t>
      </w:r>
    </w:p>
    <w:p w14:paraId="6348CD44" w14:textId="31884C0C" w:rsidR="00FC6710" w:rsidRPr="008D77D6" w:rsidRDefault="00FC6710" w:rsidP="00FC6710">
      <w:pPr>
        <w:pStyle w:val="BodyText"/>
      </w:pPr>
      <w:r w:rsidRPr="008D77D6">
        <w:t xml:space="preserve">If one or more </w:t>
      </w:r>
      <w:r w:rsidR="00625DE8">
        <w:t>NSW-based</w:t>
      </w:r>
      <w:r w:rsidRPr="008D77D6">
        <w:t xml:space="preserve"> suppliers is identified through Local Market Testing, and the tender has been awarded to a non-local supplier, you must record the reasons why </w:t>
      </w:r>
      <w:proofErr w:type="gramStart"/>
      <w:r w:rsidRPr="008D77D6">
        <w:t>a</w:t>
      </w:r>
      <w:proofErr w:type="gramEnd"/>
      <w:r w:rsidRPr="008D77D6">
        <w:t xml:space="preserve"> </w:t>
      </w:r>
      <w:r w:rsidR="00625DE8">
        <w:t>NSW-based</w:t>
      </w:r>
      <w:r w:rsidRPr="008D77D6">
        <w:t xml:space="preserve"> supplier has not been selected. This is the ‘if not, why not’ part of the </w:t>
      </w:r>
      <w:r>
        <w:t>direction</w:t>
      </w:r>
      <w:r w:rsidRPr="008D77D6">
        <w:t>.</w:t>
      </w:r>
    </w:p>
    <w:p w14:paraId="7AF7A329" w14:textId="77777777" w:rsidR="00FC6710" w:rsidRPr="00D970B7" w:rsidRDefault="00FC6710" w:rsidP="009E4786">
      <w:pPr>
        <w:pStyle w:val="Heading4"/>
      </w:pPr>
      <w:r w:rsidRPr="00D970B7">
        <w:t xml:space="preserve">Decision making documents </w:t>
      </w:r>
    </w:p>
    <w:p w14:paraId="093B4699" w14:textId="54DA33D0" w:rsidR="00FC6710" w:rsidRPr="008D77D6" w:rsidRDefault="00FC6710" w:rsidP="00FC6710">
      <w:pPr>
        <w:pStyle w:val="BodyText"/>
      </w:pPr>
      <w:r w:rsidRPr="008D77D6">
        <w:t xml:space="preserve">You must record the reasons why </w:t>
      </w:r>
      <w:proofErr w:type="gramStart"/>
      <w:r w:rsidRPr="008D77D6">
        <w:t>a</w:t>
      </w:r>
      <w:proofErr w:type="gramEnd"/>
      <w:r w:rsidRPr="008D77D6">
        <w:t xml:space="preserve"> </w:t>
      </w:r>
      <w:r w:rsidR="00625DE8">
        <w:t>NSW-based</w:t>
      </w:r>
      <w:r w:rsidRPr="008D77D6">
        <w:t xml:space="preserve"> supplier has not been selected</w:t>
      </w:r>
      <w:r w:rsidR="00EE231D">
        <w:t>, if there was one available,</w:t>
      </w:r>
      <w:r w:rsidRPr="008D77D6">
        <w:t xml:space="preserve"> in decision-making documents. These are government records used at every stage of the procurement to document your decisions and the reasons behind them. </w:t>
      </w:r>
    </w:p>
    <w:p w14:paraId="421001DF" w14:textId="44DC5E63" w:rsidR="00FC6710" w:rsidRPr="008D77D6" w:rsidRDefault="00FC6710" w:rsidP="00FC6710">
      <w:pPr>
        <w:pStyle w:val="BodyText"/>
      </w:pPr>
      <w:r w:rsidRPr="008D77D6">
        <w:t xml:space="preserve">Agencies will need to determine the specific form of document used and can be informed by existing procurement processes and governance. </w:t>
      </w:r>
      <w:r w:rsidR="00CF6D15">
        <w:t xml:space="preserve">For example, </w:t>
      </w:r>
      <w:r w:rsidR="00FB6B87">
        <w:t xml:space="preserve">agencies may use the Evaluation Report or a contract award brief. </w:t>
      </w:r>
      <w:r w:rsidRPr="008D77D6">
        <w:t>Good records are part of meeting the policy and legal obligations of every procurement.</w:t>
      </w:r>
    </w:p>
    <w:p w14:paraId="4656A5E5" w14:textId="77777777" w:rsidR="00FC6710" w:rsidRPr="00D970B7" w:rsidRDefault="00FC6710" w:rsidP="009E4786">
      <w:pPr>
        <w:pStyle w:val="Heading4"/>
      </w:pPr>
      <w:r w:rsidRPr="00D970B7">
        <w:t xml:space="preserve">Referencing value for money criteria </w:t>
      </w:r>
    </w:p>
    <w:p w14:paraId="05271B49" w14:textId="114A113F" w:rsidR="00FC6710" w:rsidRDefault="000354C9" w:rsidP="00876CB2">
      <w:pPr>
        <w:pStyle w:val="BodyText"/>
      </w:pPr>
      <w:r>
        <w:t>T</w:t>
      </w:r>
      <w:r w:rsidR="00FC6710" w:rsidRPr="00D970B7">
        <w:t>he reason</w:t>
      </w:r>
      <w:r w:rsidR="00411DDF">
        <w:t>(</w:t>
      </w:r>
      <w:r w:rsidR="00FC6710" w:rsidRPr="00D970B7">
        <w:t>s</w:t>
      </w:r>
      <w:r w:rsidR="00411DDF">
        <w:t>)</w:t>
      </w:r>
      <w:r w:rsidR="00FC6710" w:rsidRPr="00D970B7">
        <w:t xml:space="preserve"> </w:t>
      </w:r>
      <w:r w:rsidR="00CA0F89">
        <w:t xml:space="preserve">provided for not awarding a contract to </w:t>
      </w:r>
      <w:proofErr w:type="gramStart"/>
      <w:r w:rsidR="00FC6710" w:rsidRPr="00D970B7">
        <w:t>a</w:t>
      </w:r>
      <w:proofErr w:type="gramEnd"/>
      <w:r w:rsidR="00FC6710" w:rsidRPr="00D970B7">
        <w:t xml:space="preserve"> </w:t>
      </w:r>
      <w:r w:rsidR="00625DE8">
        <w:t>NSW-based</w:t>
      </w:r>
      <w:r w:rsidR="00FC6710" w:rsidRPr="00D970B7">
        <w:t xml:space="preserve"> supplier</w:t>
      </w:r>
      <w:r w:rsidR="00CA0F89">
        <w:t xml:space="preserve"> </w:t>
      </w:r>
      <w:r w:rsidR="00FC6710" w:rsidRPr="00D970B7">
        <w:t xml:space="preserve">should </w:t>
      </w:r>
      <w:r w:rsidR="00CA0F89">
        <w:t xml:space="preserve">be </w:t>
      </w:r>
      <w:r w:rsidR="00FC6710" w:rsidRPr="00D970B7">
        <w:t>align</w:t>
      </w:r>
      <w:r w:rsidR="00CA0F89">
        <w:t>ed</w:t>
      </w:r>
      <w:r w:rsidR="00FC6710" w:rsidRPr="00D970B7">
        <w:t xml:space="preserve"> to </w:t>
      </w:r>
      <w:r w:rsidR="00CA0F89">
        <w:t xml:space="preserve">the </w:t>
      </w:r>
      <w:r w:rsidR="00FC6710" w:rsidRPr="00D970B7">
        <w:t>value for money criteria</w:t>
      </w:r>
      <w:r w:rsidR="00CA0F89">
        <w:t xml:space="preserve"> used to evaluate the tender proposals</w:t>
      </w:r>
      <w:r w:rsidR="00FC6710" w:rsidRPr="00D970B7">
        <w:t>. Value for money remains the overarching consideration in NSW Government procurement activities.</w:t>
      </w:r>
    </w:p>
    <w:p w14:paraId="371EE022" w14:textId="3E167FA8" w:rsidR="00801040" w:rsidRPr="00D970B7" w:rsidRDefault="00E12906" w:rsidP="00876CB2">
      <w:pPr>
        <w:pStyle w:val="BodyText"/>
      </w:pPr>
      <w:r>
        <w:t xml:space="preserve">The Direction requires agencies to report to the Procurement Board on the reason why a supplier was not awarded a contract. </w:t>
      </w:r>
      <w:r w:rsidR="00EF1BD5">
        <w:t xml:space="preserve">While this reporting is fulfilled through a separate process, </w:t>
      </w:r>
      <w:r w:rsidR="007511B4">
        <w:t xml:space="preserve">it may </w:t>
      </w:r>
      <w:r w:rsidR="007511B4">
        <w:lastRenderedPageBreak/>
        <w:t xml:space="preserve">assist with the Board reporting if you consider and record the primary reason why the contract was not awarded to </w:t>
      </w:r>
      <w:r w:rsidR="00534D97">
        <w:t>NSW-based suppliers</w:t>
      </w:r>
      <w:r w:rsidR="00416BA0">
        <w:t xml:space="preserve"> in</w:t>
      </w:r>
      <w:r w:rsidR="0087449D">
        <w:t xml:space="preserve"> agency decision making documents</w:t>
      </w:r>
      <w:r w:rsidR="00534D97">
        <w:t xml:space="preserve">. The </w:t>
      </w:r>
      <w:r w:rsidR="008879EF">
        <w:t xml:space="preserve">Procurement Reform Advisory Group has agreed the following standard ‘reason codes’ for the purposes of the Board reporting: </w:t>
      </w:r>
    </w:p>
    <w:p w14:paraId="0D84B95F" w14:textId="0AB01DE3" w:rsidR="001E496A" w:rsidDel="00CA0F89" w:rsidRDefault="001E496A" w:rsidP="001E496A">
      <w:pPr>
        <w:pStyle w:val="ListParagraph"/>
        <w:numPr>
          <w:ilvl w:val="1"/>
          <w:numId w:val="16"/>
        </w:numPr>
        <w:spacing w:before="120" w:after="120"/>
        <w:rPr>
          <w:rFonts w:eastAsia="Times New Roman" w:cs="Times New Roman"/>
        </w:rPr>
      </w:pPr>
      <w:r w:rsidDel="00CA0F89">
        <w:t>M</w:t>
      </w:r>
      <w:r w:rsidRPr="00EF2F21" w:rsidDel="00CA0F89">
        <w:t>andatory</w:t>
      </w:r>
      <w:r w:rsidRPr="00AF0D61" w:rsidDel="00CA0F89">
        <w:t xml:space="preserve"> minimum requirements or </w:t>
      </w:r>
      <w:r w:rsidRPr="00EF2F21" w:rsidDel="00CA0F89">
        <w:t>other specific requirements</w:t>
      </w:r>
      <w:r w:rsidRPr="00696F09" w:rsidDel="00CA0F89">
        <w:rPr>
          <w:rFonts w:eastAsia="Times New Roman" w:cs="Times New Roman"/>
        </w:rPr>
        <w:t xml:space="preserve"> </w:t>
      </w:r>
    </w:p>
    <w:p w14:paraId="37C82E81" w14:textId="386BDD7A" w:rsidR="001E496A" w:rsidDel="00CA0F89" w:rsidRDefault="001E496A" w:rsidP="001E496A">
      <w:pPr>
        <w:pStyle w:val="ListParagraph"/>
        <w:numPr>
          <w:ilvl w:val="1"/>
          <w:numId w:val="16"/>
        </w:numPr>
        <w:spacing w:before="120" w:after="120"/>
        <w:rPr>
          <w:rFonts w:eastAsia="Times New Roman" w:cs="Times New Roman"/>
        </w:rPr>
      </w:pPr>
      <w:r w:rsidDel="00CA0F89">
        <w:t>Capability, experience or qualifications</w:t>
      </w:r>
      <w:r w:rsidRPr="0047130F" w:rsidDel="00CA0F89">
        <w:rPr>
          <w:rFonts w:eastAsia="Times New Roman" w:cs="Times New Roman"/>
        </w:rPr>
        <w:t xml:space="preserve"> </w:t>
      </w:r>
    </w:p>
    <w:p w14:paraId="15ACDF29" w14:textId="63BE32CB" w:rsidR="001E496A" w:rsidRPr="00846E2C" w:rsidDel="00CA0F89" w:rsidRDefault="001E496A" w:rsidP="001E496A">
      <w:pPr>
        <w:pStyle w:val="ListParagraph"/>
        <w:numPr>
          <w:ilvl w:val="1"/>
          <w:numId w:val="16"/>
        </w:numPr>
        <w:spacing w:before="120" w:after="120"/>
        <w:rPr>
          <w:rFonts w:eastAsia="Times New Roman" w:cs="Times New Roman"/>
        </w:rPr>
      </w:pPr>
      <w:r w:rsidDel="00CA0F89">
        <w:t xml:space="preserve">Capacity </w:t>
      </w:r>
    </w:p>
    <w:p w14:paraId="23F9E8A2" w14:textId="4B4728C7" w:rsidR="001E496A" w:rsidRPr="00846E2C" w:rsidDel="00CA0F89" w:rsidRDefault="001E496A" w:rsidP="001E496A">
      <w:pPr>
        <w:pStyle w:val="ListParagraph"/>
        <w:numPr>
          <w:ilvl w:val="1"/>
          <w:numId w:val="16"/>
        </w:numPr>
        <w:spacing w:before="120" w:after="120"/>
        <w:rPr>
          <w:rFonts w:eastAsia="Times New Roman" w:cs="Times New Roman"/>
        </w:rPr>
      </w:pPr>
      <w:r w:rsidDel="00CA0F89">
        <w:t>Quality of</w:t>
      </w:r>
      <w:r w:rsidRPr="00EF2F21" w:rsidDel="00CA0F89">
        <w:t xml:space="preserve"> submission or tender</w:t>
      </w:r>
    </w:p>
    <w:p w14:paraId="455E664B" w14:textId="5246600A" w:rsidR="001E496A" w:rsidRPr="00846E2C" w:rsidDel="00CA0F89" w:rsidRDefault="001E496A" w:rsidP="001E496A">
      <w:pPr>
        <w:pStyle w:val="ListParagraph"/>
        <w:numPr>
          <w:ilvl w:val="1"/>
          <w:numId w:val="16"/>
        </w:numPr>
        <w:spacing w:before="120" w:after="120"/>
        <w:rPr>
          <w:rFonts w:eastAsia="Times New Roman" w:cs="Times New Roman"/>
        </w:rPr>
      </w:pPr>
      <w:r w:rsidRPr="00C962F1" w:rsidDel="00CA0F89">
        <w:t>Financial</w:t>
      </w:r>
      <w:r w:rsidDel="00CA0F89">
        <w:t xml:space="preserve"> risks</w:t>
      </w:r>
    </w:p>
    <w:p w14:paraId="5187241C" w14:textId="3DB8539F" w:rsidR="001E496A" w:rsidRPr="00846E2C" w:rsidDel="00CA0F89" w:rsidRDefault="001E496A" w:rsidP="001E496A">
      <w:pPr>
        <w:pStyle w:val="ListParagraph"/>
        <w:numPr>
          <w:ilvl w:val="1"/>
          <w:numId w:val="16"/>
        </w:numPr>
        <w:spacing w:before="120" w:after="120"/>
        <w:rPr>
          <w:rFonts w:eastAsia="Times New Roman" w:cs="Times New Roman"/>
        </w:rPr>
      </w:pPr>
      <w:r w:rsidDel="00CA0F89">
        <w:t xml:space="preserve"> Pricing </w:t>
      </w:r>
    </w:p>
    <w:p w14:paraId="48813058" w14:textId="61D72199" w:rsidR="001E496A" w:rsidRPr="00846E2C" w:rsidDel="00CA0F89" w:rsidRDefault="001E496A" w:rsidP="001E496A">
      <w:pPr>
        <w:pStyle w:val="ListParagraph"/>
        <w:numPr>
          <w:ilvl w:val="1"/>
          <w:numId w:val="16"/>
        </w:numPr>
        <w:spacing w:before="120" w:after="120"/>
        <w:rPr>
          <w:rFonts w:eastAsia="Times New Roman" w:cs="Times New Roman"/>
        </w:rPr>
      </w:pPr>
      <w:r w:rsidDel="00CA0F89">
        <w:t>Suitable but not selected</w:t>
      </w:r>
    </w:p>
    <w:p w14:paraId="22BA893C" w14:textId="0CCF1F2F" w:rsidR="001E496A" w:rsidRPr="00E62287" w:rsidDel="00CA0F89" w:rsidRDefault="001E496A" w:rsidP="001E496A">
      <w:pPr>
        <w:pStyle w:val="ListParagraph"/>
        <w:numPr>
          <w:ilvl w:val="1"/>
          <w:numId w:val="16"/>
        </w:numPr>
        <w:spacing w:before="120" w:after="120"/>
        <w:rPr>
          <w:rFonts w:eastAsia="Times New Roman" w:cs="Times New Roman"/>
        </w:rPr>
      </w:pPr>
      <w:r w:rsidRPr="00846E2C" w:rsidDel="00CA0F89">
        <w:rPr>
          <w:rFonts w:eastAsia="Times New Roman" w:cs="Times New Roman"/>
        </w:rPr>
        <w:t xml:space="preserve">Local benefits test score (made available once Local Content Policy is alive) </w:t>
      </w:r>
    </w:p>
    <w:p w14:paraId="50EE7895" w14:textId="77777777" w:rsidR="008879EF" w:rsidRDefault="008879EF" w:rsidP="008879EF">
      <w:pPr>
        <w:pStyle w:val="BodyText"/>
        <w:rPr>
          <w:color w:val="auto"/>
        </w:rPr>
      </w:pPr>
      <w:r>
        <w:rPr>
          <w:color w:val="auto"/>
        </w:rPr>
        <w:t xml:space="preserve">See section 10 for a description of each reason. </w:t>
      </w:r>
    </w:p>
    <w:p w14:paraId="60132779" w14:textId="77777777" w:rsidR="008879EF" w:rsidRDefault="008879EF" w:rsidP="00240FC4">
      <w:pPr>
        <w:pStyle w:val="BodyText"/>
        <w:rPr>
          <w:color w:val="auto"/>
        </w:rPr>
      </w:pPr>
    </w:p>
    <w:p w14:paraId="65774CCD" w14:textId="002AC0F7" w:rsidR="00131887" w:rsidRPr="00D970B7" w:rsidRDefault="00131887" w:rsidP="00131887">
      <w:pPr>
        <w:pStyle w:val="Heading2"/>
      </w:pPr>
      <w:r w:rsidRPr="00D970B7">
        <w:t xml:space="preserve">Collecting and reporting data on procurement from </w:t>
      </w:r>
      <w:r>
        <w:t>NSW-based</w:t>
      </w:r>
      <w:r w:rsidRPr="00D970B7">
        <w:t xml:space="preserve"> suppliers</w:t>
      </w:r>
      <w:r w:rsidR="002B2262">
        <w:t xml:space="preserve"> to the Procurement Board</w:t>
      </w:r>
      <w:r w:rsidRPr="00D970B7">
        <w:t xml:space="preserve"> </w:t>
      </w:r>
    </w:p>
    <w:p w14:paraId="11B4E6F8" w14:textId="1C7D26CA" w:rsidR="002B2262" w:rsidRDefault="002B2262" w:rsidP="00131887">
      <w:pPr>
        <w:pStyle w:val="BodyText"/>
      </w:pPr>
      <w:r>
        <w:t xml:space="preserve">The Direction includes obligations for agencies to provide data to the Procurement Board on </w:t>
      </w:r>
      <w:r w:rsidR="002E67C6">
        <w:t xml:space="preserve">the procurement outcomes from the local market testing requirements. </w:t>
      </w:r>
    </w:p>
    <w:p w14:paraId="2CCA53C7" w14:textId="4E48C1CE" w:rsidR="00131887" w:rsidRPr="008D77D6" w:rsidRDefault="008413BC" w:rsidP="00131887">
      <w:pPr>
        <w:pStyle w:val="BodyText"/>
      </w:pPr>
      <w:r>
        <w:t xml:space="preserve">From </w:t>
      </w:r>
      <w:r w:rsidR="00131887" w:rsidRPr="008D77D6">
        <w:t xml:space="preserve">1 January 2025, agencies are to collect the following information on procurements </w:t>
      </w:r>
      <w:r w:rsidR="00187178">
        <w:t xml:space="preserve">that </w:t>
      </w:r>
      <w:r w:rsidR="00E776C4">
        <w:t xml:space="preserve">are published </w:t>
      </w:r>
      <w:r w:rsidR="00C86AC9">
        <w:t xml:space="preserve">on </w:t>
      </w:r>
      <w:r w:rsidR="00187178">
        <w:t xml:space="preserve">or after 1 January 2025 </w:t>
      </w:r>
      <w:r w:rsidR="007E63D3">
        <w:t xml:space="preserve">on the buy NSW Tenders module </w:t>
      </w:r>
      <w:r w:rsidR="00187178">
        <w:t xml:space="preserve">and are </w:t>
      </w:r>
      <w:r w:rsidR="00131887" w:rsidRPr="008D77D6">
        <w:t>valued $7.5 million or more</w:t>
      </w:r>
      <w:r w:rsidR="004C5133">
        <w:t xml:space="preserve"> </w:t>
      </w:r>
    </w:p>
    <w:p w14:paraId="68FCC412" w14:textId="77777777" w:rsidR="00131887" w:rsidRPr="008D77D6" w:rsidRDefault="00131887" w:rsidP="00131887">
      <w:pPr>
        <w:pStyle w:val="ListBullet"/>
      </w:pPr>
      <w:r w:rsidRPr="008D77D6">
        <w:t>procurement category</w:t>
      </w:r>
    </w:p>
    <w:p w14:paraId="43FACB05" w14:textId="77777777" w:rsidR="00131887" w:rsidRPr="008D77D6" w:rsidRDefault="00131887" w:rsidP="00131887">
      <w:pPr>
        <w:pStyle w:val="ListBullet"/>
      </w:pPr>
      <w:r w:rsidRPr="008D77D6">
        <w:t xml:space="preserve">whether a capable </w:t>
      </w:r>
      <w:r>
        <w:t>NSW-based</w:t>
      </w:r>
      <w:r w:rsidRPr="008D77D6">
        <w:t xml:space="preserve"> supplier or suppliers was identified during the planning stage</w:t>
      </w:r>
    </w:p>
    <w:p w14:paraId="074B488D" w14:textId="77777777" w:rsidR="00131887" w:rsidRPr="008D77D6" w:rsidRDefault="00131887" w:rsidP="00131887">
      <w:pPr>
        <w:pStyle w:val="ListBullet"/>
      </w:pPr>
      <w:r w:rsidRPr="008D77D6">
        <w:t xml:space="preserve">whether the procurement was awarded to </w:t>
      </w:r>
      <w:proofErr w:type="gramStart"/>
      <w:r w:rsidRPr="008D77D6">
        <w:t>a</w:t>
      </w:r>
      <w:proofErr w:type="gramEnd"/>
      <w:r>
        <w:t xml:space="preserve"> </w:t>
      </w:r>
      <w:r w:rsidRPr="008D77D6">
        <w:t xml:space="preserve">NSW-based </w:t>
      </w:r>
      <w:r w:rsidRPr="008D77D6" w:rsidDel="00BA7C51">
        <w:t>(local)</w:t>
      </w:r>
      <w:r w:rsidRPr="008D77D6">
        <w:t xml:space="preserve"> supplier</w:t>
      </w:r>
      <w:r>
        <w:t>, o</w:t>
      </w:r>
      <w:r w:rsidRPr="00DF7005">
        <w:t>ther</w:t>
      </w:r>
      <w:r w:rsidRPr="008D77D6">
        <w:t xml:space="preserve"> Australian or New Zealand based supplier, or</w:t>
      </w:r>
      <w:r>
        <w:t xml:space="preserve"> o</w:t>
      </w:r>
      <w:r w:rsidRPr="00DF7005">
        <w:t>ther</w:t>
      </w:r>
      <w:r w:rsidRPr="008D77D6">
        <w:t xml:space="preserve"> international supplier</w:t>
      </w:r>
    </w:p>
    <w:p w14:paraId="798A57D9" w14:textId="583FEC24" w:rsidR="00096CF7" w:rsidRPr="008D77D6" w:rsidRDefault="00131887" w:rsidP="007E63D3">
      <w:pPr>
        <w:pStyle w:val="ListBullet"/>
      </w:pPr>
      <w:r w:rsidRPr="008D77D6">
        <w:t>the key reasons that each supplier type was not awarded the contract, aligned to value for money criteria.</w:t>
      </w:r>
    </w:p>
    <w:p w14:paraId="00A6424B" w14:textId="6EA6F7A5" w:rsidR="00131887" w:rsidRPr="008D77D6" w:rsidRDefault="00131887" w:rsidP="00131887">
      <w:pPr>
        <w:pStyle w:val="BodyText"/>
      </w:pPr>
      <w:r w:rsidRPr="008D77D6">
        <w:t xml:space="preserve">Government agencies must provide quarterly reports to the Procurement Board, commencing from </w:t>
      </w:r>
      <w:r w:rsidR="00FD1BB5">
        <w:t xml:space="preserve">quarter one </w:t>
      </w:r>
      <w:r w:rsidR="009D3EB4">
        <w:t xml:space="preserve">in </w:t>
      </w:r>
      <w:r w:rsidRPr="008D77D6">
        <w:t xml:space="preserve">2025. The first quarterly report will cover the period 1 January – 31 March 2025. </w:t>
      </w:r>
      <w:r>
        <w:t>Treasury will coordinate whole-of-government reporting at the end of each quarter, and report on implementation to the Procurement Board.</w:t>
      </w:r>
    </w:p>
    <w:p w14:paraId="0549DB71" w14:textId="43C9291A" w:rsidR="00131887" w:rsidRDefault="002F0DE3" w:rsidP="00131887">
      <w:pPr>
        <w:pStyle w:val="BodyText"/>
        <w:rPr>
          <w:rFonts w:asciiTheme="majorHAnsi" w:hAnsiTheme="majorHAnsi"/>
        </w:rPr>
      </w:pPr>
      <w:r>
        <w:rPr>
          <w:rFonts w:asciiTheme="majorHAnsi" w:hAnsiTheme="majorHAnsi"/>
        </w:rPr>
        <w:t>Online r</w:t>
      </w:r>
      <w:r w:rsidR="00131887" w:rsidRPr="009724BC">
        <w:rPr>
          <w:rFonts w:asciiTheme="majorHAnsi" w:hAnsiTheme="majorHAnsi"/>
        </w:rPr>
        <w:t>eporting process</w:t>
      </w:r>
    </w:p>
    <w:p w14:paraId="7D742742" w14:textId="29BFEBE8" w:rsidR="00131887" w:rsidRDefault="00131887" w:rsidP="00131887">
      <w:pPr>
        <w:pStyle w:val="BodyText"/>
      </w:pPr>
      <w:r>
        <w:t>Agencies can fulfil their reporting requirements using the NSW Opportunities Hub on buy.nsw</w:t>
      </w:r>
      <w:r w:rsidR="00DC3203">
        <w:t>.</w:t>
      </w:r>
      <w:r>
        <w:t xml:space="preserve"> </w:t>
      </w:r>
    </w:p>
    <w:p w14:paraId="7640F1B9" w14:textId="77777777" w:rsidR="00341903" w:rsidRDefault="00131887" w:rsidP="00131887">
      <w:pPr>
        <w:pStyle w:val="BodyText"/>
      </w:pPr>
      <w:r>
        <w:t xml:space="preserve">NSW Government supply opportunities valued more than $150,000 (inc. GST) must be </w:t>
      </w:r>
      <w:r w:rsidRPr="00F77125">
        <w:t>published</w:t>
      </w:r>
      <w:r>
        <w:t xml:space="preserve"> on the buy NSW Opportunities Hub, with agencies required to transition during 2025 (noting an application programming interface (API) will allow agencies to automate publication of opportunities from existing agency systems). </w:t>
      </w:r>
    </w:p>
    <w:p w14:paraId="3E8993D6" w14:textId="06F0B5A9" w:rsidR="00341903" w:rsidRDefault="00514BA8" w:rsidP="0052198F">
      <w:pPr>
        <w:pStyle w:val="BodyText"/>
      </w:pPr>
      <w:r>
        <w:t>For the online reporting process, the r</w:t>
      </w:r>
      <w:r w:rsidR="00341903">
        <w:t xml:space="preserve">eporting fields will be populated from the </w:t>
      </w:r>
      <w:r>
        <w:t xml:space="preserve">publication notice on </w:t>
      </w:r>
      <w:r w:rsidR="001529F0">
        <w:t xml:space="preserve">the </w:t>
      </w:r>
      <w:r w:rsidR="00341903">
        <w:t>Opportunities Hub</w:t>
      </w:r>
      <w:r w:rsidR="0052198F">
        <w:t xml:space="preserve"> for any </w:t>
      </w:r>
      <w:r w:rsidR="00341903">
        <w:t>contract to which the Direction applies (based on</w:t>
      </w:r>
      <w:r w:rsidR="00212F4C">
        <w:t xml:space="preserve"> actual</w:t>
      </w:r>
      <w:r w:rsidR="00341903">
        <w:t xml:space="preserve"> contract value).</w:t>
      </w:r>
    </w:p>
    <w:p w14:paraId="33F1B5FE" w14:textId="55E73218" w:rsidR="00212F4C" w:rsidRDefault="00034F30" w:rsidP="0052198F">
      <w:pPr>
        <w:pStyle w:val="BodyText"/>
      </w:pPr>
      <w:r>
        <w:lastRenderedPageBreak/>
        <w:t xml:space="preserve">As reporting will be triggered by actual contract value, </w:t>
      </w:r>
      <w:r w:rsidR="0005310A" w:rsidRPr="009724BC">
        <w:t>Agencies should</w:t>
      </w:r>
      <w:r w:rsidR="0005310A" w:rsidRPr="00AC3663">
        <w:t xml:space="preserve"> </w:t>
      </w:r>
      <w:r w:rsidR="0005310A" w:rsidRPr="009724BC">
        <w:t xml:space="preserve">consider their level of confidence in contract value estimates, and </w:t>
      </w:r>
      <w:r w:rsidR="0005310A" w:rsidRPr="00AC3663">
        <w:t>apply th</w:t>
      </w:r>
      <w:r w:rsidR="0005310A" w:rsidRPr="009724BC">
        <w:t>e</w:t>
      </w:r>
      <w:r w:rsidR="0005310A" w:rsidRPr="00AC3663">
        <w:t xml:space="preserve"> Direction </w:t>
      </w:r>
      <w:r w:rsidR="0005310A" w:rsidRPr="009724BC">
        <w:t xml:space="preserve">if there is a moderate or higher risk that </w:t>
      </w:r>
      <w:r w:rsidR="0005310A" w:rsidRPr="00AC3663">
        <w:t>the actual value of a procurement may exceed $7.5 million</w:t>
      </w:r>
      <w:r w:rsidR="0004112D">
        <w:t xml:space="preserve"> as there may be a chance they will need to report on the </w:t>
      </w:r>
      <w:proofErr w:type="gramStart"/>
      <w:r w:rsidR="0004112D">
        <w:t xml:space="preserve">contract </w:t>
      </w:r>
      <w:r w:rsidR="00A12D3F">
        <w:t>.</w:t>
      </w:r>
      <w:proofErr w:type="gramEnd"/>
      <w:r w:rsidR="00A12D3F">
        <w:t xml:space="preserve"> </w:t>
      </w:r>
    </w:p>
    <w:p w14:paraId="6C1316ED" w14:textId="6081DD56" w:rsidR="00131887" w:rsidRDefault="00131887" w:rsidP="00131887">
      <w:pPr>
        <w:pStyle w:val="BodyText"/>
      </w:pPr>
      <w:r>
        <w:t xml:space="preserve">Agency buyers will need to ensure they </w:t>
      </w:r>
      <w:r w:rsidRPr="009724BC">
        <w:rPr>
          <w:b/>
          <w:bCs/>
        </w:rPr>
        <w:t>complete opportunities</w:t>
      </w:r>
      <w:r>
        <w:t xml:space="preserve"> via the Opportunities Hub</w:t>
      </w:r>
      <w:r w:rsidR="00CA5853">
        <w:t>, and enter the reason codes for each unsuccessful supplier,</w:t>
      </w:r>
      <w:r>
        <w:t xml:space="preserve"> to use the online reporting features.</w:t>
      </w:r>
    </w:p>
    <w:p w14:paraId="33637E1B" w14:textId="77777777" w:rsidR="00131887" w:rsidRDefault="00131887" w:rsidP="00131887">
      <w:pPr>
        <w:pStyle w:val="BodyText"/>
      </w:pPr>
      <w:r>
        <w:t xml:space="preserve">Agencies will have 2 weeks following the close of each reporting period (the last day of the March, June, September and December quarter) to update and finalise their opportunities and so activate the reporting. </w:t>
      </w:r>
    </w:p>
    <w:p w14:paraId="0AE99CF7" w14:textId="440CA470" w:rsidR="00131887" w:rsidRDefault="00131887" w:rsidP="00131887">
      <w:pPr>
        <w:pStyle w:val="BodyText"/>
      </w:pPr>
      <w:r>
        <w:t xml:space="preserve">NSW Procurement will then download and distribute a report to agencies for verification, prior to submitting the whole-of-government quarterly </w:t>
      </w:r>
      <w:r w:rsidR="009206B4">
        <w:t>l</w:t>
      </w:r>
      <w:r>
        <w:t xml:space="preserve">ocal </w:t>
      </w:r>
      <w:r w:rsidR="009206B4">
        <w:t>m</w:t>
      </w:r>
      <w:r>
        <w:t xml:space="preserve">arket testing report to the </w:t>
      </w:r>
      <w:r w:rsidR="009206B4">
        <w:t xml:space="preserve">Procurement </w:t>
      </w:r>
      <w:r>
        <w:t xml:space="preserve">Board.  </w:t>
      </w:r>
    </w:p>
    <w:p w14:paraId="3F376A53" w14:textId="77777777" w:rsidR="00131887" w:rsidRDefault="00131887" w:rsidP="00131887">
      <w:pPr>
        <w:pStyle w:val="BodyText"/>
      </w:pPr>
      <w:r>
        <w:t xml:space="preserve">The report to the Board will contain aggregated agency group data across the 4 reporting requirements in the Direction. The reports will not include individual supplier data or specific tender outcomes. </w:t>
      </w:r>
    </w:p>
    <w:p w14:paraId="4BF6CDA4" w14:textId="77777777" w:rsidR="00131887" w:rsidRPr="009724BC" w:rsidRDefault="00131887" w:rsidP="00131887">
      <w:pPr>
        <w:pStyle w:val="BodyText"/>
        <w:keepNext/>
        <w:rPr>
          <w:b/>
          <w:bCs/>
        </w:rPr>
      </w:pPr>
      <w:r w:rsidRPr="009724BC">
        <w:rPr>
          <w:b/>
          <w:bCs/>
        </w:rPr>
        <w:t xml:space="preserve">Reasons why a supplier was unsuccessful </w:t>
      </w:r>
    </w:p>
    <w:p w14:paraId="563BDE19" w14:textId="24BF2000" w:rsidR="00131887" w:rsidRDefault="00131887" w:rsidP="00131887">
      <w:pPr>
        <w:pStyle w:val="BodyText"/>
      </w:pPr>
      <w:r>
        <w:t xml:space="preserve">The Direction requires agencies to </w:t>
      </w:r>
      <w:r w:rsidR="00D413A5">
        <w:t>report to the Board on</w:t>
      </w:r>
      <w:r>
        <w:t xml:space="preserve"> the reasons why a </w:t>
      </w:r>
      <w:r w:rsidR="009206B4">
        <w:t>supplier was</w:t>
      </w:r>
      <w:r>
        <w:t xml:space="preserve"> not awarded a contract. This fulfils the Direction’s reporting requirement d). </w:t>
      </w:r>
    </w:p>
    <w:p w14:paraId="74468C05" w14:textId="434296E5" w:rsidR="00131887" w:rsidRDefault="00750031" w:rsidP="00131887">
      <w:pPr>
        <w:pStyle w:val="BodyText"/>
      </w:pPr>
      <w:r>
        <w:t xml:space="preserve">The Procurement Reform Advisory Group has </w:t>
      </w:r>
      <w:r w:rsidR="005E31E5">
        <w:t>agreed the follow</w:t>
      </w:r>
      <w:r w:rsidR="00E12906">
        <w:t>ing</w:t>
      </w:r>
      <w:r w:rsidR="005E31E5">
        <w:t xml:space="preserve"> stan</w:t>
      </w:r>
      <w:r w:rsidR="00DC5C8D">
        <w:t xml:space="preserve">dard ‘reason </w:t>
      </w:r>
      <w:proofErr w:type="gramStart"/>
      <w:r w:rsidR="00DC5C8D">
        <w:t>codes</w:t>
      </w:r>
      <w:r>
        <w:t>’</w:t>
      </w:r>
      <w:proofErr w:type="gramEnd"/>
      <w:r>
        <w:t xml:space="preserve">. Agency buyers should select </w:t>
      </w:r>
      <w:r w:rsidRPr="005E14E8">
        <w:rPr>
          <w:b/>
          <w:bCs/>
        </w:rPr>
        <w:t xml:space="preserve">one reason code per </w:t>
      </w:r>
      <w:r w:rsidR="00156C57">
        <w:rPr>
          <w:b/>
          <w:bCs/>
        </w:rPr>
        <w:t xml:space="preserve">unsuccessful </w:t>
      </w:r>
      <w:r w:rsidRPr="005E14E8">
        <w:rPr>
          <w:b/>
          <w:bCs/>
        </w:rPr>
        <w:t>supplier</w:t>
      </w:r>
      <w:r>
        <w:t xml:space="preserve"> when closing the opportunity on the Opportunities Hub</w:t>
      </w:r>
      <w:r w:rsidR="0005195B">
        <w:t>:</w:t>
      </w:r>
      <w:r w:rsidR="00131887">
        <w:t xml:space="preserve"> </w:t>
      </w:r>
    </w:p>
    <w:p w14:paraId="51768D2F" w14:textId="77777777" w:rsidR="00131887" w:rsidRDefault="00131887" w:rsidP="00131887">
      <w:pPr>
        <w:pStyle w:val="ListParagraph"/>
        <w:numPr>
          <w:ilvl w:val="1"/>
          <w:numId w:val="16"/>
        </w:numPr>
        <w:spacing w:before="120" w:after="120"/>
        <w:rPr>
          <w:rFonts w:eastAsia="Times New Roman" w:cs="Times New Roman"/>
        </w:rPr>
      </w:pPr>
      <w:r>
        <w:t>M</w:t>
      </w:r>
      <w:r w:rsidRPr="00EF2F21">
        <w:t>andatory</w:t>
      </w:r>
      <w:r w:rsidRPr="00AF0D61">
        <w:t xml:space="preserve"> minimum requirements or </w:t>
      </w:r>
      <w:r w:rsidRPr="00EF2F21">
        <w:t>other specific requirements</w:t>
      </w:r>
      <w:r w:rsidRPr="00696F09" w:rsidDel="00842C44">
        <w:rPr>
          <w:rFonts w:eastAsia="Times New Roman" w:cs="Times New Roman"/>
        </w:rPr>
        <w:t xml:space="preserve"> </w:t>
      </w:r>
    </w:p>
    <w:p w14:paraId="4C13172B" w14:textId="77777777" w:rsidR="00131887" w:rsidRDefault="00131887" w:rsidP="00131887">
      <w:pPr>
        <w:pStyle w:val="ListParagraph"/>
        <w:numPr>
          <w:ilvl w:val="1"/>
          <w:numId w:val="16"/>
        </w:numPr>
        <w:spacing w:before="120" w:after="120"/>
        <w:rPr>
          <w:rFonts w:eastAsia="Times New Roman" w:cs="Times New Roman"/>
        </w:rPr>
      </w:pPr>
      <w:r>
        <w:t>Capability, experience or qualifications</w:t>
      </w:r>
      <w:r w:rsidRPr="0047130F" w:rsidDel="00CD3200">
        <w:rPr>
          <w:rFonts w:eastAsia="Times New Roman" w:cs="Times New Roman"/>
        </w:rPr>
        <w:t xml:space="preserve"> </w:t>
      </w:r>
    </w:p>
    <w:p w14:paraId="136CB752" w14:textId="77777777" w:rsidR="00131887" w:rsidRPr="00846E2C" w:rsidRDefault="00131887" w:rsidP="00131887">
      <w:pPr>
        <w:pStyle w:val="ListParagraph"/>
        <w:numPr>
          <w:ilvl w:val="1"/>
          <w:numId w:val="16"/>
        </w:numPr>
        <w:spacing w:before="120" w:after="120"/>
        <w:rPr>
          <w:rFonts w:eastAsia="Times New Roman" w:cs="Times New Roman"/>
        </w:rPr>
      </w:pPr>
      <w:r>
        <w:t xml:space="preserve">Capacity </w:t>
      </w:r>
    </w:p>
    <w:p w14:paraId="4CC19171" w14:textId="77777777" w:rsidR="00131887" w:rsidRPr="00846E2C" w:rsidRDefault="00131887" w:rsidP="00131887">
      <w:pPr>
        <w:pStyle w:val="ListParagraph"/>
        <w:numPr>
          <w:ilvl w:val="1"/>
          <w:numId w:val="16"/>
        </w:numPr>
        <w:spacing w:before="120" w:after="120"/>
        <w:rPr>
          <w:rFonts w:eastAsia="Times New Roman" w:cs="Times New Roman"/>
        </w:rPr>
      </w:pPr>
      <w:r>
        <w:t>Quality of</w:t>
      </w:r>
      <w:r w:rsidRPr="00EF2F21">
        <w:t xml:space="preserve"> submission or tender</w:t>
      </w:r>
    </w:p>
    <w:p w14:paraId="38F56EEC" w14:textId="77777777" w:rsidR="00131887" w:rsidRPr="00846E2C" w:rsidRDefault="00131887" w:rsidP="00131887">
      <w:pPr>
        <w:pStyle w:val="ListParagraph"/>
        <w:numPr>
          <w:ilvl w:val="1"/>
          <w:numId w:val="16"/>
        </w:numPr>
        <w:spacing w:before="120" w:after="120"/>
        <w:rPr>
          <w:rFonts w:eastAsia="Times New Roman" w:cs="Times New Roman"/>
        </w:rPr>
      </w:pPr>
      <w:r w:rsidRPr="00C962F1">
        <w:t>Financial</w:t>
      </w:r>
      <w:r>
        <w:t xml:space="preserve"> risks</w:t>
      </w:r>
    </w:p>
    <w:p w14:paraId="3AAD2987" w14:textId="77777777" w:rsidR="00131887" w:rsidRPr="009724BC" w:rsidRDefault="00131887" w:rsidP="00131887">
      <w:pPr>
        <w:pStyle w:val="ListParagraph"/>
        <w:numPr>
          <w:ilvl w:val="1"/>
          <w:numId w:val="16"/>
        </w:numPr>
        <w:spacing w:before="120" w:after="120"/>
        <w:rPr>
          <w:rFonts w:eastAsia="Times New Roman" w:cs="Times New Roman"/>
        </w:rPr>
      </w:pPr>
      <w:r>
        <w:t xml:space="preserve">Pricing </w:t>
      </w:r>
    </w:p>
    <w:p w14:paraId="201EF90F" w14:textId="77777777" w:rsidR="00131887" w:rsidRPr="001E496A" w:rsidRDefault="00131887" w:rsidP="00131887">
      <w:pPr>
        <w:pStyle w:val="ListParagraph"/>
        <w:numPr>
          <w:ilvl w:val="1"/>
          <w:numId w:val="16"/>
        </w:numPr>
        <w:spacing w:before="120" w:after="120"/>
        <w:rPr>
          <w:rFonts w:eastAsia="Times New Roman" w:cs="Times New Roman"/>
        </w:rPr>
      </w:pPr>
      <w:r>
        <w:t>Suitable but not selected</w:t>
      </w:r>
    </w:p>
    <w:p w14:paraId="5F458632" w14:textId="61F081E3" w:rsidR="00131887" w:rsidRPr="00E62287" w:rsidRDefault="00131887" w:rsidP="00131887">
      <w:pPr>
        <w:pStyle w:val="ListParagraph"/>
        <w:numPr>
          <w:ilvl w:val="1"/>
          <w:numId w:val="16"/>
        </w:numPr>
        <w:spacing w:before="120" w:after="120"/>
        <w:rPr>
          <w:rFonts w:eastAsia="Times New Roman" w:cs="Times New Roman"/>
        </w:rPr>
      </w:pPr>
      <w:r w:rsidRPr="00846E2C">
        <w:rPr>
          <w:rFonts w:eastAsia="Times New Roman" w:cs="Times New Roman"/>
        </w:rPr>
        <w:t xml:space="preserve">Local benefits test score (made available once Local Content Policy is </w:t>
      </w:r>
      <w:r w:rsidR="00801040">
        <w:rPr>
          <w:rFonts w:eastAsia="Times New Roman" w:cs="Times New Roman"/>
        </w:rPr>
        <w:t>released</w:t>
      </w:r>
      <w:r w:rsidRPr="00846E2C">
        <w:rPr>
          <w:rFonts w:eastAsia="Times New Roman" w:cs="Times New Roman"/>
        </w:rPr>
        <w:t xml:space="preserve">) </w:t>
      </w:r>
    </w:p>
    <w:p w14:paraId="093A0C87" w14:textId="77777777" w:rsidR="00131887" w:rsidRPr="005E14E8" w:rsidRDefault="00131887" w:rsidP="00131887">
      <w:pPr>
        <w:pStyle w:val="BodyText"/>
        <w:rPr>
          <w:b/>
          <w:bCs/>
          <w:color w:val="auto"/>
        </w:rPr>
      </w:pPr>
      <w:r w:rsidRPr="009724BC">
        <w:rPr>
          <w:color w:val="auto"/>
        </w:rPr>
        <w:t xml:space="preserve">While there may be many reasons why a supplier might be unsuccessful, </w:t>
      </w:r>
      <w:r w:rsidRPr="005E14E8">
        <w:rPr>
          <w:b/>
          <w:bCs/>
          <w:color w:val="auto"/>
        </w:rPr>
        <w:t xml:space="preserve">the most dominant reason should be selected. </w:t>
      </w:r>
    </w:p>
    <w:p w14:paraId="12FF3AC9" w14:textId="77777777" w:rsidR="00131887" w:rsidRDefault="00131887" w:rsidP="00131887">
      <w:pPr>
        <w:pStyle w:val="BodyText"/>
        <w:rPr>
          <w:color w:val="auto"/>
        </w:rPr>
      </w:pPr>
      <w:r>
        <w:rPr>
          <w:color w:val="auto"/>
        </w:rPr>
        <w:t xml:space="preserve">See section 10 for a description of each reason. </w:t>
      </w:r>
    </w:p>
    <w:p w14:paraId="0BE203EE" w14:textId="77777777" w:rsidR="00131887" w:rsidRPr="005E14E8" w:rsidRDefault="00131887" w:rsidP="00876CB2">
      <w:pPr>
        <w:pStyle w:val="BodyText"/>
        <w:rPr>
          <w:color w:val="auto"/>
        </w:rPr>
      </w:pPr>
    </w:p>
    <w:p w14:paraId="2DE2FF98" w14:textId="77777777" w:rsidR="00DD3ABB" w:rsidRPr="00D970B7" w:rsidRDefault="00DD3ABB" w:rsidP="00DD3ABB">
      <w:pPr>
        <w:pStyle w:val="Heading2"/>
      </w:pPr>
      <w:bookmarkStart w:id="12" w:name="_Toc178600278"/>
      <w:r w:rsidRPr="00D970B7">
        <w:t>Interactions with PBD 2019-05 Procurement (Enforceable Procurement Provisions) Direction</w:t>
      </w:r>
      <w:bookmarkEnd w:id="12"/>
    </w:p>
    <w:p w14:paraId="787427BB" w14:textId="77777777" w:rsidR="00DD3ABB" w:rsidRPr="008D77D6" w:rsidRDefault="00DD3ABB" w:rsidP="00DD3ABB">
      <w:pPr>
        <w:pStyle w:val="BodyText"/>
      </w:pPr>
      <w:r w:rsidRPr="008D77D6">
        <w:t>The purpose of th</w:t>
      </w:r>
      <w:r>
        <w:t>e</w:t>
      </w:r>
      <w:r w:rsidRPr="008D77D6">
        <w:t xml:space="preserve"> </w:t>
      </w:r>
      <w:r>
        <w:t>direction</w:t>
      </w:r>
      <w:r w:rsidRPr="008D77D6">
        <w:t xml:space="preserve"> </w:t>
      </w:r>
      <w:r w:rsidRPr="202B4ED4">
        <w:t>is</w:t>
      </w:r>
      <w:r w:rsidRPr="008D77D6">
        <w:t xml:space="preserve"> to:</w:t>
      </w:r>
    </w:p>
    <w:p w14:paraId="1B253602" w14:textId="2AE2AC53" w:rsidR="00DD3ABB" w:rsidRPr="008D77D6" w:rsidRDefault="00DD3ABB" w:rsidP="00DD3ABB">
      <w:pPr>
        <w:pStyle w:val="ListBullet"/>
      </w:pPr>
      <w:r w:rsidRPr="008D77D6">
        <w:t xml:space="preserve">ensure </w:t>
      </w:r>
      <w:r w:rsidR="00625DE8">
        <w:t>NSW-based</w:t>
      </w:r>
      <w:r w:rsidRPr="008D77D6">
        <w:t xml:space="preserve"> suppliers are provided a full and fair opportunity to compete for government contracts</w:t>
      </w:r>
    </w:p>
    <w:p w14:paraId="7D95B4FA" w14:textId="77777777" w:rsidR="00DD3ABB" w:rsidRPr="008D77D6" w:rsidRDefault="00DD3ABB" w:rsidP="00DD3ABB">
      <w:pPr>
        <w:pStyle w:val="ListBullet"/>
      </w:pPr>
      <w:r w:rsidRPr="008D77D6">
        <w:t>better inform the State about the NSW procurement landscape.</w:t>
      </w:r>
    </w:p>
    <w:p w14:paraId="734CDB3F" w14:textId="77777777" w:rsidR="00DD3ABB" w:rsidRDefault="00DD3ABB" w:rsidP="00DD3ABB">
      <w:pPr>
        <w:pStyle w:val="BodyText"/>
      </w:pPr>
      <w:r>
        <w:t xml:space="preserve">The direction does not require a particular outcome when agencies are selecting suppliers. </w:t>
      </w:r>
    </w:p>
    <w:p w14:paraId="6683E69D" w14:textId="54F9B4E8" w:rsidR="00DD3ABB" w:rsidRDefault="00DD3ABB" w:rsidP="00DD3ABB">
      <w:pPr>
        <w:pStyle w:val="BodyText"/>
      </w:pPr>
      <w:r w:rsidRPr="202B4ED4">
        <w:lastRenderedPageBreak/>
        <w:t xml:space="preserve">Agencies </w:t>
      </w:r>
      <w:r>
        <w:t xml:space="preserve">can apply the direction to applicable procurements while </w:t>
      </w:r>
      <w:r w:rsidRPr="202B4ED4">
        <w:t>continu</w:t>
      </w:r>
      <w:r>
        <w:t>ing</w:t>
      </w:r>
      <w:r w:rsidRPr="202B4ED4">
        <w:t xml:space="preserve"> to comply with requirements for approaching the market in PBD 2019-05 and ensur</w:t>
      </w:r>
      <w:r>
        <w:t>ing</w:t>
      </w:r>
      <w:r w:rsidRPr="202B4ED4">
        <w:t xml:space="preserve"> that </w:t>
      </w:r>
      <w:r w:rsidR="00625DE8">
        <w:t>NSW-based</w:t>
      </w:r>
      <w:r w:rsidRPr="202B4ED4">
        <w:t xml:space="preserve"> suppliers are not disadvantaged by the procurement specifications or conditions for participation.</w:t>
      </w:r>
    </w:p>
    <w:p w14:paraId="1DADD385" w14:textId="77777777" w:rsidR="00801040" w:rsidRPr="00471018" w:rsidRDefault="00801040" w:rsidP="00DD3ABB">
      <w:pPr>
        <w:pStyle w:val="BodyText"/>
      </w:pPr>
    </w:p>
    <w:p w14:paraId="5773E5BA" w14:textId="6C480AE3" w:rsidR="00FC6710" w:rsidRPr="00D970B7" w:rsidRDefault="00FC6710" w:rsidP="00CE726C">
      <w:pPr>
        <w:pStyle w:val="Heading2"/>
      </w:pPr>
      <w:bookmarkStart w:id="13" w:name="_Toc178600279"/>
      <w:r w:rsidRPr="00D970B7">
        <w:t>Definitions</w:t>
      </w:r>
      <w:bookmarkEnd w:id="13"/>
    </w:p>
    <w:p w14:paraId="1440FF8B" w14:textId="77777777" w:rsidR="00FC6710" w:rsidRPr="00D970B7" w:rsidRDefault="00FC6710" w:rsidP="00FC6710">
      <w:pPr>
        <w:pStyle w:val="Heading3"/>
      </w:pPr>
      <w:r w:rsidRPr="00D970B7">
        <w:t xml:space="preserve">Local supplier </w:t>
      </w:r>
    </w:p>
    <w:p w14:paraId="1C982B59" w14:textId="0A9E106F" w:rsidR="00FC6710" w:rsidRPr="008D77D6" w:rsidRDefault="00FC6710" w:rsidP="00FC6710">
      <w:pPr>
        <w:pStyle w:val="BodyText"/>
        <w:rPr>
          <w:shd w:val="clear" w:color="auto" w:fill="FFFFFF"/>
        </w:rPr>
      </w:pPr>
      <w:proofErr w:type="gramStart"/>
      <w:r w:rsidRPr="008D77D6">
        <w:rPr>
          <w:shd w:val="clear" w:color="auto" w:fill="FFFFFF"/>
        </w:rPr>
        <w:t>A</w:t>
      </w:r>
      <w:proofErr w:type="gramEnd"/>
      <w:r w:rsidRPr="008D77D6">
        <w:rPr>
          <w:shd w:val="clear" w:color="auto" w:fill="FFFFFF"/>
        </w:rPr>
        <w:t xml:space="preserve"> </w:t>
      </w:r>
      <w:r w:rsidR="00625DE8">
        <w:rPr>
          <w:shd w:val="clear" w:color="auto" w:fill="FFFFFF"/>
        </w:rPr>
        <w:t>NSW-based</w:t>
      </w:r>
      <w:r w:rsidRPr="008D77D6">
        <w:rPr>
          <w:shd w:val="clear" w:color="auto" w:fill="FFFFFF"/>
        </w:rPr>
        <w:t xml:space="preserve"> supplier is defined as having:</w:t>
      </w:r>
    </w:p>
    <w:p w14:paraId="14C3C37C" w14:textId="77777777" w:rsidR="00FC6710" w:rsidRPr="008D77D6" w:rsidRDefault="00FC6710" w:rsidP="00FC6710">
      <w:pPr>
        <w:pStyle w:val="ListBullet"/>
        <w:rPr>
          <w:shd w:val="clear" w:color="auto" w:fill="FFFFFF"/>
        </w:rPr>
      </w:pPr>
      <w:r w:rsidRPr="008D77D6">
        <w:rPr>
          <w:shd w:val="clear" w:color="auto" w:fill="FFFFFF"/>
        </w:rPr>
        <w:t>an active ABN</w:t>
      </w:r>
    </w:p>
    <w:p w14:paraId="352F30D5" w14:textId="76890686" w:rsidR="00FC6710" w:rsidRPr="008D77D6" w:rsidRDefault="00FC6710" w:rsidP="00FC6710">
      <w:pPr>
        <w:pStyle w:val="ListBullet"/>
        <w:rPr>
          <w:shd w:val="clear" w:color="auto" w:fill="FFFFFF"/>
        </w:rPr>
      </w:pPr>
      <w:r w:rsidRPr="008D77D6">
        <w:rPr>
          <w:shd w:val="clear" w:color="auto" w:fill="FFFFFF"/>
        </w:rPr>
        <w:t>a main business</w:t>
      </w:r>
      <w:r w:rsidR="00793778">
        <w:rPr>
          <w:shd w:val="clear" w:color="auto" w:fill="FFFFFF"/>
        </w:rPr>
        <w:t xml:space="preserve"> location</w:t>
      </w:r>
      <w:r w:rsidR="00654D8D">
        <w:rPr>
          <w:shd w:val="clear" w:color="auto" w:fill="FFFFFF"/>
        </w:rPr>
        <w:t xml:space="preserve"> as displayed on </w:t>
      </w:r>
      <w:r w:rsidR="00C15B86">
        <w:rPr>
          <w:shd w:val="clear" w:color="auto" w:fill="FFFFFF"/>
        </w:rPr>
        <w:t xml:space="preserve">the </w:t>
      </w:r>
      <w:r w:rsidR="00654D8D">
        <w:rPr>
          <w:shd w:val="clear" w:color="auto" w:fill="FFFFFF"/>
        </w:rPr>
        <w:t>ABN lookup</w:t>
      </w:r>
      <w:r w:rsidRPr="008D77D6">
        <w:rPr>
          <w:shd w:val="clear" w:color="auto" w:fill="FFFFFF"/>
        </w:rPr>
        <w:t xml:space="preserve"> with </w:t>
      </w:r>
      <w:proofErr w:type="gramStart"/>
      <w:r w:rsidRPr="008D77D6">
        <w:rPr>
          <w:shd w:val="clear" w:color="auto" w:fill="FFFFFF"/>
        </w:rPr>
        <w:t>a</w:t>
      </w:r>
      <w:proofErr w:type="gramEnd"/>
      <w:r w:rsidRPr="008D77D6">
        <w:rPr>
          <w:shd w:val="clear" w:color="auto" w:fill="FFFFFF"/>
        </w:rPr>
        <w:t xml:space="preserve"> NSW postcode on the Australian Business Register. </w:t>
      </w:r>
    </w:p>
    <w:p w14:paraId="6E712B7A" w14:textId="77777777" w:rsidR="00FC6710" w:rsidRPr="008D77D6" w:rsidRDefault="00FC6710" w:rsidP="00FC6710">
      <w:pPr>
        <w:pStyle w:val="BodyText"/>
        <w:rPr>
          <w:shd w:val="clear" w:color="auto" w:fill="FFFFFF"/>
        </w:rPr>
      </w:pPr>
      <w:r w:rsidRPr="008D77D6">
        <w:rPr>
          <w:shd w:val="clear" w:color="auto" w:fill="FFFFFF"/>
        </w:rPr>
        <w:t xml:space="preserve">These conditions can be confirmed using the Australian Business Register’s </w:t>
      </w:r>
      <w:hyperlink r:id="rId15" w:history="1">
        <w:r w:rsidRPr="00D970B7">
          <w:rPr>
            <w:rStyle w:val="Hyperlink"/>
            <w:rFonts w:cs="Arial"/>
            <w:shd w:val="clear" w:color="auto" w:fill="FFFFFF"/>
          </w:rPr>
          <w:t>ABN Lookup website</w:t>
        </w:r>
      </w:hyperlink>
      <w:r w:rsidRPr="008D77D6">
        <w:rPr>
          <w:shd w:val="clear" w:color="auto" w:fill="FFFFFF"/>
        </w:rPr>
        <w:t xml:space="preserve">. </w:t>
      </w:r>
    </w:p>
    <w:p w14:paraId="44694DC3" w14:textId="015F39B1" w:rsidR="008879EF" w:rsidRPr="008D77D6" w:rsidRDefault="008879EF" w:rsidP="00FC6710">
      <w:pPr>
        <w:pStyle w:val="BodyText"/>
        <w:rPr>
          <w:shd w:val="clear" w:color="auto" w:fill="FFFFFF"/>
        </w:rPr>
      </w:pPr>
      <w:r>
        <w:rPr>
          <w:shd w:val="clear" w:color="auto" w:fill="FFFFFF"/>
        </w:rPr>
        <w:t>NSW-based suppliers are identified in the Supplier Hub.</w:t>
      </w:r>
    </w:p>
    <w:p w14:paraId="6E07E80E" w14:textId="77777777" w:rsidR="00FC6710" w:rsidRPr="00D970B7" w:rsidRDefault="00FC6710" w:rsidP="00FC6710">
      <w:pPr>
        <w:pStyle w:val="Heading3"/>
      </w:pPr>
      <w:r w:rsidRPr="00D970B7">
        <w:t xml:space="preserve">Determining the commencement date of procurement </w:t>
      </w:r>
    </w:p>
    <w:p w14:paraId="405E4B56" w14:textId="77777777" w:rsidR="00FC6710" w:rsidRPr="008D77D6" w:rsidRDefault="00FC6710" w:rsidP="00FC6710">
      <w:pPr>
        <w:pStyle w:val="BodyText"/>
      </w:pPr>
      <w:r w:rsidRPr="008D77D6">
        <w:t xml:space="preserve">The </w:t>
      </w:r>
      <w:r>
        <w:t>direction</w:t>
      </w:r>
      <w:r w:rsidRPr="008D77D6">
        <w:t xml:space="preserve"> provides information on how to determine whether a procurement has commenced in the ‘Transitional Arrangements’ section. A procurement has commenced </w:t>
      </w:r>
      <w:proofErr w:type="gramStart"/>
      <w:r w:rsidRPr="008D77D6">
        <w:t>if and when</w:t>
      </w:r>
      <w:proofErr w:type="gramEnd"/>
      <w:r w:rsidRPr="008D77D6">
        <w:t>:</w:t>
      </w:r>
    </w:p>
    <w:p w14:paraId="7C7CEB98" w14:textId="77777777" w:rsidR="00FC6710" w:rsidRPr="00D970B7" w:rsidRDefault="00FC6710" w:rsidP="00FC6710">
      <w:pPr>
        <w:pStyle w:val="ListNumber"/>
        <w:numPr>
          <w:ilvl w:val="0"/>
          <w:numId w:val="10"/>
        </w:numPr>
      </w:pPr>
      <w:r w:rsidRPr="00D970B7">
        <w:t>the business case which contains a strategy for approaching the market for the procurement is:</w:t>
      </w:r>
    </w:p>
    <w:p w14:paraId="5F671FC0" w14:textId="77777777" w:rsidR="00FC6710" w:rsidRPr="00D970B7" w:rsidRDefault="00FC6710" w:rsidP="00FC6710">
      <w:pPr>
        <w:pStyle w:val="ListBullet2"/>
      </w:pPr>
      <w:r w:rsidRPr="00D970B7">
        <w:t>submitted for review by another government entity as part of a mandatory process (e.g. an investor assurance (Gateway) process or to Treasury as part of a funding proposal</w:t>
      </w:r>
    </w:p>
    <w:p w14:paraId="1239FA92" w14:textId="77777777" w:rsidR="00FC6710" w:rsidRPr="00D970B7" w:rsidRDefault="00FC6710" w:rsidP="00FC6710">
      <w:pPr>
        <w:pStyle w:val="ListBullet2"/>
      </w:pPr>
      <w:r w:rsidRPr="00D970B7">
        <w:t xml:space="preserve">if </w:t>
      </w:r>
      <w:r>
        <w:t>the above</w:t>
      </w:r>
      <w:r w:rsidRPr="00D970B7">
        <w:t xml:space="preserve"> is not applicable, approved by the government agency</w:t>
      </w:r>
    </w:p>
    <w:p w14:paraId="554E6324" w14:textId="77777777" w:rsidR="00FC6710" w:rsidRPr="00D970B7" w:rsidRDefault="00FC6710" w:rsidP="00FC6710">
      <w:pPr>
        <w:pStyle w:val="ListNumber"/>
        <w:rPr>
          <w:rFonts w:eastAsiaTheme="minorHAnsi"/>
        </w:rPr>
      </w:pPr>
      <w:r w:rsidRPr="008D77D6">
        <w:t xml:space="preserve">if </w:t>
      </w:r>
      <w:r>
        <w:t>1.</w:t>
      </w:r>
      <w:r w:rsidRPr="008D77D6">
        <w:t xml:space="preserve"> is not applicable, the strategy for approaching the market for the procurement is approved by the government agency</w:t>
      </w:r>
    </w:p>
    <w:p w14:paraId="6890109B" w14:textId="77777777" w:rsidR="00791851" w:rsidRDefault="00FC6710" w:rsidP="00791851">
      <w:pPr>
        <w:pStyle w:val="ListNumber"/>
        <w:rPr>
          <w:rFonts w:eastAsiaTheme="minorHAnsi"/>
        </w:rPr>
      </w:pPr>
      <w:r w:rsidRPr="008D77D6">
        <w:t xml:space="preserve"> if neither </w:t>
      </w:r>
      <w:r>
        <w:t>1.</w:t>
      </w:r>
      <w:r w:rsidRPr="008D77D6">
        <w:t xml:space="preserve"> or </w:t>
      </w:r>
      <w:r>
        <w:t>2.</w:t>
      </w:r>
      <w:r w:rsidRPr="008D77D6">
        <w:t xml:space="preserve"> is applicable, a request for submissions (</w:t>
      </w:r>
      <w:proofErr w:type="spellStart"/>
      <w:r w:rsidRPr="008D77D6">
        <w:t>Rfx</w:t>
      </w:r>
      <w:proofErr w:type="spellEnd"/>
      <w:r w:rsidRPr="008D77D6">
        <w:t>) is released by the government agency.</w:t>
      </w:r>
    </w:p>
    <w:p w14:paraId="35BCBC5B" w14:textId="654873F0" w:rsidR="003F1629" w:rsidRPr="00791851" w:rsidRDefault="003F1629" w:rsidP="004A051A">
      <w:pPr>
        <w:pStyle w:val="ListNumber"/>
        <w:numPr>
          <w:ilvl w:val="0"/>
          <w:numId w:val="0"/>
        </w:numPr>
        <w:ind w:left="357"/>
        <w:rPr>
          <w:rFonts w:eastAsiaTheme="minorHAnsi"/>
        </w:rPr>
      </w:pPr>
      <w:r w:rsidRPr="00791851">
        <w:rPr>
          <w:rFonts w:eastAsiaTheme="minorHAnsi"/>
        </w:rPr>
        <w:t>NOTE: Th</w:t>
      </w:r>
      <w:r w:rsidR="004951A2" w:rsidRPr="00791851">
        <w:rPr>
          <w:rFonts w:eastAsiaTheme="minorHAnsi"/>
        </w:rPr>
        <w:t xml:space="preserve">e reporting provisions apply to procurements that </w:t>
      </w:r>
      <w:r w:rsidR="00791851">
        <w:t>are published on or after 1 January 2025</w:t>
      </w:r>
    </w:p>
    <w:p w14:paraId="602DE16F" w14:textId="77777777" w:rsidR="00FC6710" w:rsidRPr="007E4F92" w:rsidRDefault="00FC6710" w:rsidP="00FC6710">
      <w:pPr>
        <w:pStyle w:val="Heading3"/>
      </w:pPr>
      <w:r w:rsidRPr="00D970B7">
        <w:t xml:space="preserve">Calculating procurement value </w:t>
      </w:r>
    </w:p>
    <w:p w14:paraId="5B2E430D" w14:textId="77777777" w:rsidR="00FC6710" w:rsidRDefault="00FC6710" w:rsidP="00FC6710">
      <w:pPr>
        <w:pStyle w:val="BodyText"/>
      </w:pPr>
      <w:r w:rsidRPr="008D77D6">
        <w:t xml:space="preserve">The value of a procurement is its estimated budget. </w:t>
      </w:r>
    </w:p>
    <w:p w14:paraId="18CF40DD" w14:textId="77777777" w:rsidR="00FC6710" w:rsidRDefault="00FC6710" w:rsidP="00FC6710">
      <w:pPr>
        <w:pStyle w:val="BodyText"/>
      </w:pPr>
      <w:r w:rsidRPr="008D77D6">
        <w:t xml:space="preserve">For </w:t>
      </w:r>
      <w:r>
        <w:t xml:space="preserve">procurement </w:t>
      </w:r>
      <w:r w:rsidRPr="008D77D6">
        <w:t>panels</w:t>
      </w:r>
      <w:r>
        <w:t xml:space="preserve"> including standing offers (i.e. a procurement panel with one supplier), the value of the procurement </w:t>
      </w:r>
      <w:r w:rsidRPr="008D77D6">
        <w:t>is the estimated value of all contracts that may be entered into over the life of the panel, including extension options.</w:t>
      </w:r>
      <w:r>
        <w:t xml:space="preserve"> </w:t>
      </w:r>
    </w:p>
    <w:p w14:paraId="61F80A6B" w14:textId="77777777" w:rsidR="00FC6710" w:rsidRPr="008D77D6" w:rsidRDefault="00FC6710" w:rsidP="00FC6710">
      <w:pPr>
        <w:pStyle w:val="BodyText"/>
      </w:pPr>
      <w:r>
        <w:t>Past agency or whole-of-government spend on the goods or services covered by the panel, sourced from supplier reports (if you are renewing the panel) or spend cube, is often used to estimate the value of a new or renewed panel or standing offer.</w:t>
      </w:r>
    </w:p>
    <w:p w14:paraId="03B48431" w14:textId="03E10325" w:rsidR="00FC6710" w:rsidRPr="008D77D6" w:rsidRDefault="00D4439F" w:rsidP="00FC6710">
      <w:pPr>
        <w:pStyle w:val="BodyText"/>
      </w:pPr>
      <w:r>
        <w:t>T</w:t>
      </w:r>
      <w:r w:rsidR="00FC6710" w:rsidRPr="008D77D6">
        <w:t xml:space="preserve">he estimated budget includes all costs over the duration of the project or contract consistent with clause 7 of </w:t>
      </w:r>
      <w:hyperlink r:id="rId16" w:anchor=":~:text=This%20Direction%20sets%20out%20requirements%20relating%20to%20international%20procurement%20agreements" w:history="1">
        <w:r w:rsidR="00FC6710" w:rsidRPr="008D77D6">
          <w:rPr>
            <w:rStyle w:val="Hyperlink"/>
            <w:rFonts w:cs="Arial"/>
          </w:rPr>
          <w:t>Procurement Board Direction PBD 2019-05</w:t>
        </w:r>
      </w:hyperlink>
      <w:r w:rsidR="00FC6710" w:rsidRPr="008D77D6">
        <w:t xml:space="preserve"> which provides: </w:t>
      </w:r>
    </w:p>
    <w:p w14:paraId="3F3FECB2" w14:textId="77777777" w:rsidR="00FC6710" w:rsidRPr="008D77D6" w:rsidRDefault="00FC6710" w:rsidP="00FC6710">
      <w:pPr>
        <w:pStyle w:val="ListNumber"/>
        <w:numPr>
          <w:ilvl w:val="0"/>
          <w:numId w:val="11"/>
        </w:numPr>
      </w:pPr>
      <w:r w:rsidRPr="008D77D6">
        <w:t xml:space="preserve">The estimated value of a procurement is an estimate of the maximum value (excluding GST) of the proposed procurement contract made by the government agency concerned, and is to include the value of the following: </w:t>
      </w:r>
    </w:p>
    <w:p w14:paraId="1268388A" w14:textId="77777777" w:rsidR="00FC6710" w:rsidRPr="008D77D6" w:rsidRDefault="00FC6710" w:rsidP="00FC6710">
      <w:pPr>
        <w:pStyle w:val="ListBullet2"/>
      </w:pPr>
      <w:r w:rsidRPr="008D77D6">
        <w:lastRenderedPageBreak/>
        <w:t>the goods or services to be procured</w:t>
      </w:r>
    </w:p>
    <w:p w14:paraId="434DD1BC" w14:textId="77777777" w:rsidR="00FC6710" w:rsidRPr="008D77D6" w:rsidRDefault="00FC6710" w:rsidP="00FC6710">
      <w:pPr>
        <w:pStyle w:val="ListBullet2"/>
      </w:pPr>
      <w:r w:rsidRPr="008D77D6">
        <w:t>all forms of remuneration payable by the government agency, including any premiums, fees, commissions, interest and other revenue streams that may be provided for in the proposed contract</w:t>
      </w:r>
    </w:p>
    <w:p w14:paraId="1B73FDB4" w14:textId="77777777" w:rsidR="00FC6710" w:rsidRPr="008D77D6" w:rsidRDefault="00FC6710" w:rsidP="00FC6710">
      <w:pPr>
        <w:pStyle w:val="ListBullet2"/>
      </w:pPr>
      <w:r w:rsidRPr="008D77D6">
        <w:t xml:space="preserve">any options, extensions, renewals or other mechanisms that may be executed over the life of the contract. </w:t>
      </w:r>
    </w:p>
    <w:p w14:paraId="4BD8A527" w14:textId="77777777" w:rsidR="00FC6710" w:rsidRPr="008D77D6" w:rsidRDefault="00FC6710" w:rsidP="00FC6710">
      <w:pPr>
        <w:pStyle w:val="ListNumber"/>
      </w:pPr>
      <w:r w:rsidRPr="008D77D6">
        <w:t xml:space="preserve">If a procurement is to be conducted in multiple parts with </w:t>
      </w:r>
      <w:proofErr w:type="gramStart"/>
      <w:r w:rsidRPr="008D77D6">
        <w:t>a number of</w:t>
      </w:r>
      <w:proofErr w:type="gramEnd"/>
      <w:r w:rsidRPr="008D77D6">
        <w:t xml:space="preserve"> proposed procurement contracts awarded either at the same time or over a period of time, with one or more suppliers, the estimated value of the procurement must include the estimated value of all of the proposed procurement contracts. </w:t>
      </w:r>
    </w:p>
    <w:p w14:paraId="51449CF0" w14:textId="77777777" w:rsidR="00FC6710" w:rsidRPr="008D77D6" w:rsidRDefault="00FC6710" w:rsidP="00FC6710">
      <w:pPr>
        <w:pStyle w:val="ListNumber"/>
      </w:pPr>
      <w:r w:rsidRPr="008D77D6">
        <w:t>A procurement must not be divided into separate parts if a purpose of the division is to avoid a relevant procurement threshold.</w:t>
      </w:r>
    </w:p>
    <w:p w14:paraId="575F6017" w14:textId="32BB6BA1" w:rsidR="002729C4" w:rsidRDefault="00FC6710" w:rsidP="009E4786">
      <w:pPr>
        <w:pStyle w:val="ListNumber"/>
      </w:pPr>
      <w:r w:rsidRPr="008D77D6">
        <w:t>If the maximum value of a proposed procurement cannot be estimated, the procurement is taken to have an estimated value that exceeds the relevant procurement threshold for the procurement.</w:t>
      </w:r>
    </w:p>
    <w:p w14:paraId="1256F7ED" w14:textId="77777777" w:rsidR="008879EF" w:rsidRDefault="008879EF" w:rsidP="009E4786">
      <w:pPr>
        <w:pStyle w:val="BodyText"/>
      </w:pPr>
      <w:r w:rsidRPr="009724BC">
        <w:t>Agencies should</w:t>
      </w:r>
      <w:r w:rsidRPr="00AC3663">
        <w:t xml:space="preserve"> </w:t>
      </w:r>
      <w:r w:rsidRPr="009724BC">
        <w:t xml:space="preserve">consider their level of confidence in contract value </w:t>
      </w:r>
      <w:proofErr w:type="gramStart"/>
      <w:r w:rsidRPr="009724BC">
        <w:t>estimates, and</w:t>
      </w:r>
      <w:proofErr w:type="gramEnd"/>
      <w:r w:rsidRPr="009724BC">
        <w:t xml:space="preserve"> </w:t>
      </w:r>
      <w:r w:rsidRPr="00AC3663">
        <w:t>apply th</w:t>
      </w:r>
      <w:r w:rsidRPr="009724BC">
        <w:t>e</w:t>
      </w:r>
      <w:r w:rsidRPr="00AC3663">
        <w:t xml:space="preserve"> Direction </w:t>
      </w:r>
      <w:r w:rsidRPr="009724BC">
        <w:t xml:space="preserve">if there is a moderate or higher risk that </w:t>
      </w:r>
      <w:r w:rsidRPr="00AC3663">
        <w:t>the actual value of a procurement may exceed $7.5 million</w:t>
      </w:r>
      <w:r w:rsidRPr="009724BC">
        <w:t>.</w:t>
      </w:r>
      <w:r w:rsidRPr="00AC3663">
        <w:t xml:space="preserve"> </w:t>
      </w:r>
    </w:p>
    <w:p w14:paraId="4F6A2C69" w14:textId="3870ECC2" w:rsidR="00B74D35" w:rsidRPr="00FB15B8" w:rsidRDefault="00B74D35" w:rsidP="009E4786">
      <w:pPr>
        <w:pStyle w:val="Heading3"/>
      </w:pPr>
      <w:r w:rsidRPr="00EE68DA">
        <w:t>Definitions for value-for-money criteria to reference for reasons why a supplier was unsuccessful and ‘if not, why not’ reasoning</w:t>
      </w:r>
      <w:r w:rsidR="00C01E95">
        <w:t xml:space="preserve"> (see section </w:t>
      </w:r>
      <w:r w:rsidR="00D4439F">
        <w:t>7</w:t>
      </w:r>
      <w:r w:rsidR="00C01E95">
        <w:t xml:space="preserve"> and section 8). </w:t>
      </w:r>
    </w:p>
    <w:tbl>
      <w:tblPr>
        <w:tblStyle w:val="TableGrid"/>
        <w:tblW w:w="10201" w:type="dxa"/>
        <w:tblLook w:val="04A0" w:firstRow="1" w:lastRow="0" w:firstColumn="1" w:lastColumn="0" w:noHBand="0" w:noVBand="1"/>
      </w:tblPr>
      <w:tblGrid>
        <w:gridCol w:w="3005"/>
        <w:gridCol w:w="7196"/>
      </w:tblGrid>
      <w:tr w:rsidR="00B74D35" w:rsidRPr="00B74D35" w14:paraId="1AEF6446" w14:textId="77777777" w:rsidTr="009E4786">
        <w:tc>
          <w:tcPr>
            <w:tcW w:w="3005" w:type="dxa"/>
          </w:tcPr>
          <w:p w14:paraId="0910E9D8" w14:textId="3F9F9FE8" w:rsidR="00B74D35" w:rsidRPr="00B74D35" w:rsidRDefault="00B74D35" w:rsidP="009E4786">
            <w:pPr>
              <w:keepNext/>
              <w:rPr>
                <w:b/>
                <w:bCs/>
              </w:rPr>
            </w:pPr>
            <w:r>
              <w:rPr>
                <w:b/>
                <w:bCs/>
              </w:rPr>
              <w:t xml:space="preserve">Criteria to reference </w:t>
            </w:r>
          </w:p>
        </w:tc>
        <w:tc>
          <w:tcPr>
            <w:tcW w:w="7196" w:type="dxa"/>
          </w:tcPr>
          <w:p w14:paraId="68E7AD47" w14:textId="77777777" w:rsidR="00B74D35" w:rsidRPr="00B74D35" w:rsidRDefault="00B74D35" w:rsidP="009E4786">
            <w:pPr>
              <w:keepNext/>
              <w:rPr>
                <w:b/>
                <w:bCs/>
              </w:rPr>
            </w:pPr>
            <w:r w:rsidRPr="00B74D35">
              <w:rPr>
                <w:b/>
                <w:bCs/>
              </w:rPr>
              <w:t xml:space="preserve">Definition </w:t>
            </w:r>
          </w:p>
        </w:tc>
      </w:tr>
      <w:tr w:rsidR="00B74D35" w:rsidRPr="00B74D35" w14:paraId="304F81BE" w14:textId="77777777" w:rsidTr="009E4786">
        <w:tc>
          <w:tcPr>
            <w:tcW w:w="3005" w:type="dxa"/>
          </w:tcPr>
          <w:p w14:paraId="6CE67EFC" w14:textId="77777777" w:rsidR="00B74D35" w:rsidRPr="00B74D35" w:rsidRDefault="00B74D35" w:rsidP="00EE68DA">
            <w:r w:rsidRPr="00B74D35">
              <w:t>Mandatory minimum requirements or other specific requirements</w:t>
            </w:r>
          </w:p>
        </w:tc>
        <w:tc>
          <w:tcPr>
            <w:tcW w:w="7196" w:type="dxa"/>
          </w:tcPr>
          <w:p w14:paraId="61A2742B" w14:textId="77777777" w:rsidR="00B74D35" w:rsidRPr="00B74D35" w:rsidRDefault="00B74D35" w:rsidP="00EE68DA">
            <w:r w:rsidRPr="00B74D35">
              <w:t xml:space="preserve">Did not meet mandatory, legal, contractual, regulatory or policy requirements in their proposal, e.g.  does not have required licenses and/or qualifications; does not meet environmental, social or ethical requirements; contract departures excessive  </w:t>
            </w:r>
          </w:p>
        </w:tc>
      </w:tr>
      <w:tr w:rsidR="00B74D35" w:rsidRPr="00B74D35" w14:paraId="09B7B4E6" w14:textId="77777777" w:rsidTr="009E4786">
        <w:tc>
          <w:tcPr>
            <w:tcW w:w="3005" w:type="dxa"/>
          </w:tcPr>
          <w:p w14:paraId="753133FB" w14:textId="77777777" w:rsidR="00B74D35" w:rsidRPr="00B74D35" w:rsidRDefault="00B74D35" w:rsidP="00EE68DA">
            <w:r w:rsidRPr="00B74D35">
              <w:t>Capability, experience or qualifications</w:t>
            </w:r>
          </w:p>
        </w:tc>
        <w:tc>
          <w:tcPr>
            <w:tcW w:w="7196" w:type="dxa"/>
          </w:tcPr>
          <w:p w14:paraId="7BA41BD7" w14:textId="5E2D15BA" w:rsidR="00B74D35" w:rsidRPr="00B74D35" w:rsidRDefault="00B74D35" w:rsidP="00EE68DA">
            <w:r w:rsidRPr="00B74D35">
              <w:t xml:space="preserve">Did not demonstrate to a competitive level:  </w:t>
            </w:r>
          </w:p>
          <w:p w14:paraId="61CD0A74" w14:textId="77777777" w:rsidR="00B74D35" w:rsidRPr="009E4786" w:rsidRDefault="00B74D35" w:rsidP="00EE68DA">
            <w:pPr>
              <w:pStyle w:val="ListParagraph"/>
              <w:numPr>
                <w:ilvl w:val="0"/>
                <w:numId w:val="17"/>
              </w:numPr>
              <w:spacing w:after="0" w:line="240" w:lineRule="auto"/>
              <w:rPr>
                <w:rFonts w:asciiTheme="minorHAnsi" w:hAnsiTheme="minorHAnsi"/>
              </w:rPr>
            </w:pPr>
            <w:r w:rsidRPr="009E4786">
              <w:rPr>
                <w:rFonts w:asciiTheme="minorHAnsi" w:hAnsiTheme="minorHAnsi"/>
              </w:rPr>
              <w:t xml:space="preserve">relevant organisational work experience </w:t>
            </w:r>
          </w:p>
          <w:p w14:paraId="1216EE04" w14:textId="77777777" w:rsidR="00B74D35" w:rsidRPr="009E4786" w:rsidRDefault="00B74D35" w:rsidP="00EE68DA">
            <w:pPr>
              <w:pStyle w:val="ListParagraph"/>
              <w:numPr>
                <w:ilvl w:val="0"/>
                <w:numId w:val="17"/>
              </w:numPr>
              <w:spacing w:after="0" w:line="240" w:lineRule="auto"/>
              <w:rPr>
                <w:rFonts w:asciiTheme="minorHAnsi" w:hAnsiTheme="minorHAnsi"/>
              </w:rPr>
            </w:pPr>
            <w:r w:rsidRPr="009E4786">
              <w:rPr>
                <w:rFonts w:asciiTheme="minorHAnsi" w:hAnsiTheme="minorHAnsi"/>
              </w:rPr>
              <w:t>staff experience and qualifications</w:t>
            </w:r>
          </w:p>
          <w:p w14:paraId="14B5DC2F" w14:textId="77777777" w:rsidR="00B74D35" w:rsidRPr="009E4786" w:rsidRDefault="00B74D35" w:rsidP="00EE68DA">
            <w:pPr>
              <w:pStyle w:val="ListParagraph"/>
              <w:numPr>
                <w:ilvl w:val="0"/>
                <w:numId w:val="17"/>
              </w:numPr>
              <w:spacing w:after="0" w:line="240" w:lineRule="auto"/>
              <w:rPr>
                <w:rFonts w:asciiTheme="minorHAnsi" w:hAnsiTheme="minorHAnsi"/>
              </w:rPr>
            </w:pPr>
            <w:r w:rsidRPr="009E4786">
              <w:rPr>
                <w:rFonts w:asciiTheme="minorHAnsi" w:hAnsiTheme="minorHAnsi"/>
              </w:rPr>
              <w:t xml:space="preserve">performance history including appropriate referee reports. </w:t>
            </w:r>
          </w:p>
          <w:p w14:paraId="1FCCAA8D" w14:textId="77777777" w:rsidR="00B74D35" w:rsidRPr="00B74D35" w:rsidRDefault="00B74D35" w:rsidP="00EE68DA">
            <w:r w:rsidRPr="00B74D35">
              <w:t>History of contractual commitments not being met.</w:t>
            </w:r>
          </w:p>
        </w:tc>
      </w:tr>
      <w:tr w:rsidR="00B74D35" w:rsidRPr="00B74D35" w14:paraId="79DBADF8" w14:textId="77777777" w:rsidTr="009E4786">
        <w:trPr>
          <w:trHeight w:val="533"/>
        </w:trPr>
        <w:tc>
          <w:tcPr>
            <w:tcW w:w="3005" w:type="dxa"/>
          </w:tcPr>
          <w:p w14:paraId="67A38E94" w14:textId="77777777" w:rsidR="00B74D35" w:rsidRPr="00B74D35" w:rsidRDefault="00B74D35" w:rsidP="00EE68DA">
            <w:r w:rsidRPr="00B74D35">
              <w:t xml:space="preserve">Capacity </w:t>
            </w:r>
          </w:p>
        </w:tc>
        <w:tc>
          <w:tcPr>
            <w:tcW w:w="7196" w:type="dxa"/>
          </w:tcPr>
          <w:p w14:paraId="08A1B85C" w14:textId="02A762BB" w:rsidR="00B74D35" w:rsidRPr="009E4786" w:rsidRDefault="00B74D35" w:rsidP="00EE68DA">
            <w:pPr>
              <w:pStyle w:val="xmsonormal"/>
              <w:rPr>
                <w:rFonts w:asciiTheme="minorHAnsi" w:hAnsiTheme="minorHAnsi" w:cstheme="minorBidi"/>
                <w:kern w:val="2"/>
                <w:lang w:eastAsia="en-US"/>
                <w14:ligatures w14:val="standardContextual"/>
              </w:rPr>
            </w:pPr>
            <w:r w:rsidRPr="009E4786">
              <w:rPr>
                <w:rFonts w:asciiTheme="minorHAnsi" w:hAnsiTheme="minorHAnsi" w:cstheme="minorBidi"/>
                <w:kern w:val="2"/>
                <w:lang w:eastAsia="en-US"/>
                <w14:ligatures w14:val="standardContextual"/>
              </w:rPr>
              <w:t>Did not demonstrate to a competitive level, sufficient resourcing to deliver the contract successfully, such as personnel, plant or equipment.</w:t>
            </w:r>
          </w:p>
          <w:p w14:paraId="3F2A46D0" w14:textId="77777777" w:rsidR="00B74D35" w:rsidRPr="009E4786" w:rsidRDefault="00B74D35" w:rsidP="00EE68DA">
            <w:pPr>
              <w:pStyle w:val="xmsonormal"/>
              <w:rPr>
                <w:rFonts w:asciiTheme="minorHAnsi" w:hAnsiTheme="minorHAnsi" w:cstheme="minorBidi"/>
                <w:kern w:val="2"/>
                <w:lang w:eastAsia="en-US"/>
                <w14:ligatures w14:val="standardContextual"/>
              </w:rPr>
            </w:pPr>
          </w:p>
          <w:p w14:paraId="53EB658A" w14:textId="77777777" w:rsidR="00B74D35" w:rsidRPr="009E4786" w:rsidRDefault="00B74D35" w:rsidP="00EE68DA">
            <w:pPr>
              <w:pStyle w:val="xmsonormal"/>
              <w:rPr>
                <w:rFonts w:asciiTheme="minorHAnsi" w:hAnsiTheme="minorHAnsi" w:cstheme="minorBidi"/>
                <w:kern w:val="2"/>
                <w:lang w:eastAsia="en-US"/>
                <w14:ligatures w14:val="standardContextual"/>
              </w:rPr>
            </w:pPr>
            <w:r w:rsidRPr="009E4786">
              <w:rPr>
                <w:rFonts w:asciiTheme="minorHAnsi" w:hAnsiTheme="minorHAnsi" w:cstheme="minorBidi"/>
                <w:kern w:val="2"/>
                <w:lang w:eastAsia="en-US"/>
                <w14:ligatures w14:val="standardContextual"/>
              </w:rPr>
              <w:t>Risks identified in contingency planning to meet contract delivery in the proposal</w:t>
            </w:r>
          </w:p>
          <w:p w14:paraId="08A34005" w14:textId="77777777" w:rsidR="00B74D35" w:rsidRPr="009E4786" w:rsidRDefault="00B74D35" w:rsidP="00EE68DA">
            <w:pPr>
              <w:pStyle w:val="xmsonormal"/>
              <w:rPr>
                <w:rFonts w:asciiTheme="minorHAnsi" w:hAnsiTheme="minorHAnsi" w:cstheme="minorBidi"/>
                <w:kern w:val="2"/>
                <w:lang w:eastAsia="en-US"/>
                <w14:ligatures w14:val="standardContextual"/>
              </w:rPr>
            </w:pPr>
          </w:p>
        </w:tc>
      </w:tr>
      <w:tr w:rsidR="00B74D35" w:rsidRPr="00B74D35" w14:paraId="30626A7E" w14:textId="77777777" w:rsidTr="009E4786">
        <w:tc>
          <w:tcPr>
            <w:tcW w:w="3005" w:type="dxa"/>
          </w:tcPr>
          <w:p w14:paraId="7BADFF19" w14:textId="77777777" w:rsidR="00B74D35" w:rsidRPr="00B74D35" w:rsidRDefault="00B74D35" w:rsidP="00EE68DA">
            <w:r w:rsidRPr="00B74D35">
              <w:t>Quality of submission or tender</w:t>
            </w:r>
          </w:p>
          <w:p w14:paraId="5D205399" w14:textId="77777777" w:rsidR="00B74D35" w:rsidRPr="00B74D35" w:rsidRDefault="00B74D35" w:rsidP="00EE68DA"/>
        </w:tc>
        <w:tc>
          <w:tcPr>
            <w:tcW w:w="7196" w:type="dxa"/>
          </w:tcPr>
          <w:p w14:paraId="3C33F59D" w14:textId="77777777" w:rsidR="00B74D35" w:rsidRPr="00B74D35" w:rsidRDefault="00B74D35" w:rsidP="00EE68DA">
            <w:r w:rsidRPr="00B74D35">
              <w:t xml:space="preserve">Insufficient information provided or did not demonstrate an understanding of requirements to a competitive level. Errors could not be clarified with the tenderer. </w:t>
            </w:r>
          </w:p>
        </w:tc>
      </w:tr>
      <w:tr w:rsidR="00B74D35" w:rsidRPr="00B74D35" w14:paraId="5C481602" w14:textId="77777777" w:rsidTr="009E4786">
        <w:tc>
          <w:tcPr>
            <w:tcW w:w="3005" w:type="dxa"/>
          </w:tcPr>
          <w:p w14:paraId="4A9C312D" w14:textId="77777777" w:rsidR="00B74D35" w:rsidRPr="00B74D35" w:rsidRDefault="00B74D35" w:rsidP="00EE68DA">
            <w:r w:rsidRPr="00B74D35">
              <w:t xml:space="preserve">Financial risks </w:t>
            </w:r>
          </w:p>
        </w:tc>
        <w:tc>
          <w:tcPr>
            <w:tcW w:w="7196" w:type="dxa"/>
          </w:tcPr>
          <w:p w14:paraId="6517572C" w14:textId="77777777" w:rsidR="00B74D35" w:rsidRPr="00B74D35" w:rsidRDefault="00B74D35" w:rsidP="00EE68DA">
            <w:pPr>
              <w:rPr>
                <w:b/>
                <w:bCs/>
              </w:rPr>
            </w:pPr>
            <w:r w:rsidRPr="00B74D35">
              <w:t>Financial risks identified in the proposal including financial viability and/or can’t confirm insurances</w:t>
            </w:r>
          </w:p>
          <w:p w14:paraId="4B782C4B" w14:textId="77777777" w:rsidR="00B74D35" w:rsidRPr="00B74D35" w:rsidRDefault="00B74D35" w:rsidP="00EE68DA"/>
        </w:tc>
      </w:tr>
      <w:tr w:rsidR="00B74D35" w:rsidRPr="00B74D35" w14:paraId="364102F0" w14:textId="77777777" w:rsidTr="009E4786">
        <w:tc>
          <w:tcPr>
            <w:tcW w:w="3005" w:type="dxa"/>
          </w:tcPr>
          <w:p w14:paraId="54811F9F" w14:textId="77777777" w:rsidR="00B74D35" w:rsidRPr="00B74D35" w:rsidRDefault="00B74D35" w:rsidP="00EE68DA">
            <w:r w:rsidRPr="00B74D35">
              <w:t xml:space="preserve">Pricing  </w:t>
            </w:r>
          </w:p>
        </w:tc>
        <w:tc>
          <w:tcPr>
            <w:tcW w:w="7196" w:type="dxa"/>
          </w:tcPr>
          <w:p w14:paraId="78A6E8E1" w14:textId="77777777" w:rsidR="00B74D35" w:rsidRPr="00B74D35" w:rsidRDefault="00B74D35" w:rsidP="00EE68DA">
            <w:r w:rsidRPr="00B74D35">
              <w:t xml:space="preserve">Price tendered is beyond market expectation or otherwise uncompetitive.  </w:t>
            </w:r>
          </w:p>
        </w:tc>
      </w:tr>
      <w:tr w:rsidR="00B74D35" w:rsidRPr="00B74D35" w14:paraId="2D740287" w14:textId="77777777" w:rsidTr="009E4786">
        <w:tc>
          <w:tcPr>
            <w:tcW w:w="3005" w:type="dxa"/>
          </w:tcPr>
          <w:p w14:paraId="771A8D1F" w14:textId="77777777" w:rsidR="00B74D35" w:rsidRPr="00B74D35" w:rsidRDefault="00B74D35" w:rsidP="00EE68DA">
            <w:r w:rsidRPr="00B74D35">
              <w:t xml:space="preserve">Suitable but not selected </w:t>
            </w:r>
          </w:p>
        </w:tc>
        <w:tc>
          <w:tcPr>
            <w:tcW w:w="7196" w:type="dxa"/>
          </w:tcPr>
          <w:p w14:paraId="50A4D998" w14:textId="77777777" w:rsidR="00B74D35" w:rsidRPr="00B74D35" w:rsidRDefault="00B74D35" w:rsidP="00EE68DA">
            <w:r w:rsidRPr="00B74D35">
              <w:t xml:space="preserve">Supplier satisfies tender evaluation criteria </w:t>
            </w:r>
            <w:r w:rsidRPr="00B74D35">
              <w:rPr>
                <w:b/>
                <w:bCs/>
              </w:rPr>
              <w:t xml:space="preserve">to a high level </w:t>
            </w:r>
            <w:r w:rsidRPr="00B74D35">
              <w:t xml:space="preserve">but value for money scores were lower compared to the preferred supplier. For </w:t>
            </w:r>
            <w:r w:rsidRPr="00B74D35">
              <w:lastRenderedPageBreak/>
              <w:t xml:space="preserve">example, the supplier scored second and scored closely to the winning supplier. </w:t>
            </w:r>
          </w:p>
          <w:p w14:paraId="5F3C7575" w14:textId="77777777" w:rsidR="00B74D35" w:rsidRPr="00B74D35" w:rsidRDefault="00B74D35" w:rsidP="00EE68DA"/>
          <w:p w14:paraId="2D72F028" w14:textId="77777777" w:rsidR="00B74D35" w:rsidRPr="00B74D35" w:rsidRDefault="00B74D35" w:rsidP="00EE68DA">
            <w:r w:rsidRPr="00B74D35">
              <w:t xml:space="preserve">This must not be selected if any of the other factors in this list were the primary reason the supplier did not win the contract. </w:t>
            </w:r>
          </w:p>
        </w:tc>
      </w:tr>
      <w:tr w:rsidR="00B74D35" w:rsidRPr="00B74D35" w14:paraId="39082DA4" w14:textId="77777777" w:rsidTr="009E4786">
        <w:tc>
          <w:tcPr>
            <w:tcW w:w="3005" w:type="dxa"/>
          </w:tcPr>
          <w:p w14:paraId="5691C045" w14:textId="77777777" w:rsidR="00B74D35" w:rsidRPr="00B74D35" w:rsidRDefault="00B74D35" w:rsidP="00EE68DA">
            <w:r w:rsidRPr="00B74D35">
              <w:lastRenderedPageBreak/>
              <w:t xml:space="preserve">Local benefits test score (made available once LCP alive) </w:t>
            </w:r>
          </w:p>
        </w:tc>
        <w:tc>
          <w:tcPr>
            <w:tcW w:w="7196" w:type="dxa"/>
          </w:tcPr>
          <w:p w14:paraId="3089FEFE" w14:textId="77777777" w:rsidR="00B74D35" w:rsidRPr="00B74D35" w:rsidRDefault="00B74D35" w:rsidP="00EE68DA">
            <w:r w:rsidRPr="00B74D35">
              <w:t xml:space="preserve">To be defined </w:t>
            </w:r>
          </w:p>
        </w:tc>
      </w:tr>
    </w:tbl>
    <w:p w14:paraId="3DC7450D" w14:textId="77777777" w:rsidR="00B74D35" w:rsidRPr="00FC6710" w:rsidRDefault="00B74D35" w:rsidP="009E4786">
      <w:pPr>
        <w:pStyle w:val="ListNumber"/>
        <w:numPr>
          <w:ilvl w:val="0"/>
          <w:numId w:val="0"/>
        </w:numPr>
      </w:pPr>
    </w:p>
    <w:p w14:paraId="394268F9" w14:textId="7C236569" w:rsidR="00FC6710" w:rsidRDefault="00FC6710" w:rsidP="00CE726C">
      <w:pPr>
        <w:pStyle w:val="Heading2"/>
      </w:pPr>
      <w:bookmarkStart w:id="14" w:name="_Toc178600286"/>
      <w:r>
        <w:t>Implementation timing</w:t>
      </w:r>
      <w:bookmarkEnd w:id="14"/>
    </w:p>
    <w:p w14:paraId="43C1EE40" w14:textId="77777777" w:rsidR="00FC6710" w:rsidRPr="008D77D6" w:rsidRDefault="00FC6710" w:rsidP="00FC6710">
      <w:pPr>
        <w:pStyle w:val="BodyText"/>
      </w:pPr>
      <w:r w:rsidRPr="008D77D6">
        <w:t xml:space="preserve">NSW Government agencies must implement the </w:t>
      </w:r>
      <w:r>
        <w:t>direction</w:t>
      </w:r>
      <w:r w:rsidRPr="008D77D6">
        <w:t xml:space="preserve"> to applicable procurements promptly, but no later than 1 January 2025.</w:t>
      </w:r>
    </w:p>
    <w:p w14:paraId="01DDE645" w14:textId="77777777" w:rsidR="00FC6710" w:rsidRPr="008D77D6" w:rsidRDefault="00FC6710" w:rsidP="00FC6710">
      <w:pPr>
        <w:pStyle w:val="BodyText1"/>
        <w:rPr>
          <w:rFonts w:cs="Arial"/>
        </w:rPr>
      </w:pPr>
    </w:p>
    <w:p w14:paraId="38D79073" w14:textId="77777777" w:rsidR="00FC6710" w:rsidRPr="00FC6710" w:rsidRDefault="00FC6710" w:rsidP="00FC6710">
      <w:pPr>
        <w:pStyle w:val="BodyText"/>
        <w:rPr>
          <w:rFonts w:asciiTheme="majorHAnsi" w:hAnsiTheme="majorHAnsi"/>
          <w:shd w:val="clear" w:color="auto" w:fill="FFFFFF"/>
        </w:rPr>
      </w:pPr>
      <w:r w:rsidRPr="00FC6710">
        <w:rPr>
          <w:rFonts w:asciiTheme="majorHAnsi" w:hAnsiTheme="majorHAnsi"/>
          <w:shd w:val="clear" w:color="auto" w:fill="FFFFFF"/>
        </w:rPr>
        <w:t>For more information, contact the NSW Procurement Service Centre on 1800 679 289 or nsw.buy@treasury.nsw.gov.au.</w:t>
      </w:r>
    </w:p>
    <w:sectPr w:rsidR="00FC6710" w:rsidRPr="00FC6710" w:rsidSect="002B7ECB">
      <w:footerReference w:type="default" r:id="rId17"/>
      <w:headerReference w:type="first" r:id="rId18"/>
      <w:footerReference w:type="first" r:id="rId19"/>
      <w:type w:val="continuous"/>
      <w:pgSz w:w="11906" w:h="16838" w:code="9"/>
      <w:pgMar w:top="1701" w:right="851" w:bottom="170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E5144" w14:textId="77777777" w:rsidR="00382DBD" w:rsidRDefault="00382DBD" w:rsidP="00921FD3">
      <w:r>
        <w:separator/>
      </w:r>
    </w:p>
  </w:endnote>
  <w:endnote w:type="continuationSeparator" w:id="0">
    <w:p w14:paraId="3AFE7778" w14:textId="77777777" w:rsidR="00382DBD" w:rsidRDefault="00382DBD" w:rsidP="00921FD3">
      <w:r>
        <w:continuationSeparator/>
      </w:r>
    </w:p>
  </w:endnote>
  <w:endnote w:type="continuationNotice" w:id="1">
    <w:p w14:paraId="0130A887" w14:textId="77777777" w:rsidR="00382DBD" w:rsidRDefault="00382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27D1" w14:textId="77777777" w:rsidR="005F3C7E" w:rsidRPr="000C2807" w:rsidRDefault="005F3C7E" w:rsidP="005F3C7E">
    <w:pPr>
      <w:pStyle w:val="Footerwhiteline"/>
    </w:pPr>
  </w:p>
  <w:p w14:paraId="65C8211D" w14:textId="77777777" w:rsidR="004F4880" w:rsidRPr="00C44E6C" w:rsidRDefault="00AA57D6" w:rsidP="00C44E6C">
    <w:pPr>
      <w:pStyle w:val="Footer"/>
    </w:pPr>
    <w:r w:rsidRPr="00C44E6C">
      <w:ptab w:relativeTo="margin" w:alignment="right" w:leader="none"/>
    </w:r>
    <w:r w:rsidRPr="00C44E6C">
      <w:fldChar w:fldCharType="begin"/>
    </w:r>
    <w:r w:rsidRPr="00C44E6C">
      <w:instrText xml:space="preserve"> PAGE   \* MERGEFORMAT </w:instrText>
    </w:r>
    <w:r w:rsidRPr="00C44E6C">
      <w:fldChar w:fldCharType="separate"/>
    </w:r>
    <w:r w:rsidR="000A4E4F">
      <w:rPr>
        <w:noProof/>
      </w:rPr>
      <w:t>2</w:t>
    </w:r>
    <w:r w:rsidRPr="00C44E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1771" w14:textId="77777777" w:rsidR="005F3C7E" w:rsidRPr="000C2807" w:rsidRDefault="005F3C7E" w:rsidP="005F3C7E">
    <w:pPr>
      <w:pStyle w:val="Footerwhiteline"/>
    </w:pPr>
  </w:p>
  <w:p w14:paraId="68AD52CB" w14:textId="77777777" w:rsidR="004F043F" w:rsidRPr="00AA57D6" w:rsidRDefault="002E7121" w:rsidP="00C44E6C">
    <w:pPr>
      <w:pStyle w:val="Footer"/>
    </w:pPr>
    <w:r w:rsidRPr="00AA57D6">
      <w:ptab w:relativeTo="margin" w:alignment="right" w:leader="none"/>
    </w:r>
    <w:r w:rsidRPr="00AA57D6">
      <w:fldChar w:fldCharType="begin"/>
    </w:r>
    <w:r w:rsidRPr="00AA57D6">
      <w:instrText xml:space="preserve"> PAGE   \* MERGEFORMAT </w:instrText>
    </w:r>
    <w:r w:rsidRPr="00AA57D6">
      <w:fldChar w:fldCharType="separate"/>
    </w:r>
    <w:r w:rsidR="006B2C92">
      <w:rPr>
        <w:noProof/>
      </w:rPr>
      <w:t>1</w:t>
    </w:r>
    <w:r w:rsidRPr="00AA57D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6D3D4" w14:textId="77777777" w:rsidR="00382DBD" w:rsidRDefault="00382DBD" w:rsidP="00921FD3">
      <w:r>
        <w:separator/>
      </w:r>
    </w:p>
  </w:footnote>
  <w:footnote w:type="continuationSeparator" w:id="0">
    <w:p w14:paraId="51E4CC37" w14:textId="77777777" w:rsidR="00382DBD" w:rsidRDefault="00382DBD" w:rsidP="00921FD3">
      <w:r>
        <w:continuationSeparator/>
      </w:r>
    </w:p>
  </w:footnote>
  <w:footnote w:type="continuationNotice" w:id="1">
    <w:p w14:paraId="7DBF399F" w14:textId="77777777" w:rsidR="00382DBD" w:rsidRDefault="00382DBD">
      <w:pPr>
        <w:spacing w:after="0" w:line="240" w:lineRule="auto"/>
      </w:pPr>
    </w:p>
  </w:footnote>
  <w:footnote w:id="2">
    <w:p w14:paraId="40CD6C23" w14:textId="6F9D0247" w:rsidR="00FC6710" w:rsidRPr="00B60DE3" w:rsidRDefault="00FC6710" w:rsidP="00FC6710">
      <w:pPr>
        <w:pStyle w:val="FootnoteText"/>
        <w:rPr>
          <w:lang w:val="en-US"/>
        </w:rPr>
      </w:pPr>
      <w:r>
        <w:rPr>
          <w:rStyle w:val="FootnoteReference"/>
        </w:rPr>
        <w:footnoteRef/>
      </w:r>
      <w:r>
        <w:t xml:space="preserve"> </w:t>
      </w:r>
      <w:r>
        <w:rPr>
          <w:lang w:val="en-US"/>
        </w:rPr>
        <w:t xml:space="preserve">Verification bodies include Supply Nation, NSW Indigenous Chamber of Commerce, Office of the Registrar of Indigenous Corporations, Social Traders and </w:t>
      </w:r>
      <w:r w:rsidR="00E9641B">
        <w:rPr>
          <w:lang w:val="en-US"/>
        </w:rPr>
        <w:t xml:space="preserve">the </w:t>
      </w:r>
      <w:r>
        <w:rPr>
          <w:lang w:val="en-US"/>
        </w:rPr>
        <w:t>W</w:t>
      </w:r>
      <w:r w:rsidR="00E9641B">
        <w:rPr>
          <w:lang w:val="en-US"/>
        </w:rPr>
        <w:t>ork</w:t>
      </w:r>
      <w:r w:rsidR="00261C11">
        <w:rPr>
          <w:lang w:val="en-US"/>
        </w:rPr>
        <w:t>place</w:t>
      </w:r>
      <w:r w:rsidR="00E9641B">
        <w:rPr>
          <w:lang w:val="en-US"/>
        </w:rPr>
        <w:t xml:space="preserve"> </w:t>
      </w:r>
      <w:r>
        <w:rPr>
          <w:lang w:val="en-US"/>
        </w:rPr>
        <w:t>G</w:t>
      </w:r>
      <w:r w:rsidR="00E9641B">
        <w:rPr>
          <w:lang w:val="en-US"/>
        </w:rPr>
        <w:t xml:space="preserve">ender </w:t>
      </w:r>
      <w:r>
        <w:rPr>
          <w:lang w:val="en-US"/>
        </w:rPr>
        <w:t>E</w:t>
      </w:r>
      <w:r w:rsidR="00E9641B">
        <w:rPr>
          <w:lang w:val="en-US"/>
        </w:rPr>
        <w:t xml:space="preserve">quality </w:t>
      </w:r>
      <w:r>
        <w:rPr>
          <w:lang w:val="en-US"/>
        </w:rPr>
        <w:t>A</w:t>
      </w:r>
      <w:r w:rsidR="00E9641B">
        <w:rPr>
          <w:lang w:val="en-US"/>
        </w:rPr>
        <w:t xml:space="preserve">gency </w:t>
      </w:r>
      <w:r w:rsidR="00261C11">
        <w:rPr>
          <w:lang w:val="en-US"/>
        </w:rPr>
        <w:t xml:space="preserve">Australia </w:t>
      </w:r>
      <w:r w:rsidR="00E9641B">
        <w:rPr>
          <w:lang w:val="en-US"/>
        </w:rPr>
        <w:t>(WGEA)</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370D" w14:textId="77777777" w:rsidR="003E5CA8" w:rsidRDefault="003E5CA8" w:rsidP="003E5CA8">
    <w:pPr>
      <w:pStyle w:val="Header"/>
    </w:pPr>
    <w:r>
      <w:rPr>
        <w:noProof/>
      </w:rPr>
      <mc:AlternateContent>
        <mc:Choice Requires="wps">
          <w:drawing>
            <wp:anchor distT="0" distB="0" distL="114300" distR="114300" simplePos="0" relativeHeight="251658240" behindDoc="1" locked="0" layoutInCell="1" allowOverlap="1" wp14:anchorId="696797E0" wp14:editId="463A4D08">
              <wp:simplePos x="0" y="0"/>
              <wp:positionH relativeFrom="page">
                <wp:align>center</wp:align>
              </wp:positionH>
              <wp:positionV relativeFrom="page">
                <wp:align>top</wp:align>
              </wp:positionV>
              <wp:extent cx="7560000" cy="1440000"/>
              <wp:effectExtent l="0" t="0" r="3175" b="825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1B449" id="Rectangle 5" o:spid="_x0000_s1026" alt="&quot;&quot;" style="position:absolute;margin-left:0;margin-top:0;width:595.3pt;height:113.4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3scwIAAGMFAAAOAAAAZHJzL2Uyb0RvYy54bWysVEtv2zAMvg/YfxB0X50EfWxBnCJo0WFA&#10;0RZth54VWYoFyKJGKXGyXz9KdpysC3YYloMimuTHhz5ydr1tLNsoDAZcycdnI86Uk1AZtyr599e7&#10;T585C1G4SlhwquQ7Ffj1/OOHWeunagI12EohIxAXpq0veR2jnxZFkLVqRDgDrxwpNWAjIom4KioU&#10;LaE3tpiMRpdFC1h5BKlCoK+3nZLPM77WSsZHrYOKzJaccov5xHwu01nMZ2K6QuFrI/s0xD9k0Qjj&#10;KOgAdSuiYGs0f0A1RiIE0PFMQlOA1kaqXANVMx69q+alFl7lWqg5wQ9tCv8PVj5sXvwTUhtaH6aB&#10;rqmKrcYm/VN+bJubtRuapbaRSfp4dXE5oh9nknTj8/MsEE5xcPcY4lcFDUuXkiO9Rm6S2NyH2Jnu&#10;TVK0ANZUd8baLCQGqBuLbCPo7YSUysVJei8K8JuldcneQfLs1OlLcagn3+LOqmRn3bPSzFRUwSQn&#10;k6n2PtC4U9WiUl38i6PyBo+cSwZMyJriD9g9wKkixn0RvX1yVZmpg/Pob4l1JQ4eOTK4ODg3xgGe&#10;ArBxiNzZ75vUtSZ1aQnV7gkZQjcnwcs7Q093L0J8EkiDQc9Nwx4f6dAW2pJDf+OsBvx56nuyJ76S&#10;lrOWBq3k4cdaoOLMfnPE5C+JOzSZWTi/uJqQgMea5bHGrZsbID6Maa14ma/JPtr9VSM0b7QTFikq&#10;qYSTFLvkMuJeuIndAqCtItVikc1oGr2I9+7FywSeupqo+bp9E+h7/kai/gPsh1JM39G4s02eDhbr&#10;CNpkjh/62vebJjkTp986aVUcy9nqsBvnvwAAAP//AwBQSwMEFAAGAAgAAAAhAM/vVf/aAAAABgEA&#10;AA8AAABkcnMvZG93bnJldi54bWxMj8FOwzAQRO9I/IO1SNyo00hEacimAkQviAuFD9jES5I2Xkex&#10;m4a/x+UCl5VGM5p5W24XO6iZJ987QVivElAsjTO9tAifH7u7HJQPJIYGJ4zwzR621fVVSYVxZ3nn&#10;eR9aFUvEF4TQhTAWWvumY0t+5UaW6H25yVKIcmq1megcy+2g0yTJtKVe4kJHIz933Bz3J4vwYt39&#10;22Ez213a105nuYSnV0G8vVkeH0AFXsJfGC74ER2qyFS7kxivBoT4SPi9F2+9STJQNUKaZjnoqtT/&#10;8asfAAAA//8DAFBLAQItABQABgAIAAAAIQC2gziS/gAAAOEBAAATAAAAAAAAAAAAAAAAAAAAAABb&#10;Q29udGVudF9UeXBlc10ueG1sUEsBAi0AFAAGAAgAAAAhADj9If/WAAAAlAEAAAsAAAAAAAAAAAAA&#10;AAAALwEAAF9yZWxzLy5yZWxzUEsBAi0AFAAGAAgAAAAhAMCFPexzAgAAYwUAAA4AAAAAAAAAAAAA&#10;AAAALgIAAGRycy9lMm9Eb2MueG1sUEsBAi0AFAAGAAgAAAAhAM/vVf/aAAAABgEAAA8AAAAAAAAA&#10;AAAAAAAAzQQAAGRycy9kb3ducmV2LnhtbFBLBQYAAAAABAAEAPMAAADUBQAAAAA=&#10;" fillcolor="#cbedfd [3205]" stroked="f" strokeweight="1pt">
              <w10:wrap anchorx="page" anchory="page"/>
            </v:rect>
          </w:pict>
        </mc:Fallback>
      </mc:AlternateContent>
    </w:r>
  </w:p>
  <w:p w14:paraId="50FBBC3F" w14:textId="77777777" w:rsidR="005E0D17" w:rsidRPr="003E5CA8" w:rsidRDefault="003E5CA8" w:rsidP="003E5CA8">
    <w:pPr>
      <w:pStyle w:val="DescriptororNameSmall"/>
    </w:pPr>
    <w:r>
      <w:rPr>
        <w:noProof/>
      </w:rPr>
      <w:drawing>
        <wp:anchor distT="0" distB="0" distL="114300" distR="114300" simplePos="0" relativeHeight="251658241" behindDoc="0" locked="0" layoutInCell="1" allowOverlap="1" wp14:anchorId="45AA11E2" wp14:editId="287CED1C">
          <wp:simplePos x="0" y="0"/>
          <wp:positionH relativeFrom="margin">
            <wp:align>right</wp:align>
          </wp:positionH>
          <wp:positionV relativeFrom="page">
            <wp:posOffset>540385</wp:posOffset>
          </wp:positionV>
          <wp:extent cx="666000" cy="720000"/>
          <wp:effectExtent l="0" t="0" r="1270" b="444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000B71C1">
      <w:t>NSW Treasury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74B"/>
    <w:multiLevelType w:val="hybridMultilevel"/>
    <w:tmpl w:val="E482D050"/>
    <w:lvl w:ilvl="0" w:tplc="126C1D82">
      <w:start w:val="1"/>
      <w:numFmt w:val="bullet"/>
      <w:pStyle w:val="Bodytextnumbered"/>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103F69C7"/>
    <w:multiLevelType w:val="hybridMultilevel"/>
    <w:tmpl w:val="6FA21A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475A10D5"/>
    <w:multiLevelType w:val="hybridMultilevel"/>
    <w:tmpl w:val="EC60BA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867464"/>
    <w:multiLevelType w:val="hybridMultilevel"/>
    <w:tmpl w:val="1A22D5E8"/>
    <w:lvl w:ilvl="0" w:tplc="D318D2C6">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12241CD"/>
    <w:multiLevelType w:val="hybridMultilevel"/>
    <w:tmpl w:val="D67610FC"/>
    <w:lvl w:ilvl="0" w:tplc="DA326BCC">
      <w:start w:val="1"/>
      <w:numFmt w:val="bullet"/>
      <w:lvlText w:val="-"/>
      <w:lvlJc w:val="left"/>
      <w:pPr>
        <w:ind w:left="717" w:hanging="360"/>
      </w:pPr>
      <w:rPr>
        <w:rFonts w:ascii="Public Sans Light" w:eastAsia="Arial" w:hAnsi="Public Sans Light"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4AA3C76"/>
    <w:multiLevelType w:val="hybridMultilevel"/>
    <w:tmpl w:val="5EC29758"/>
    <w:lvl w:ilvl="0" w:tplc="FFFFFFFF">
      <w:start w:val="1"/>
      <w:numFmt w:val="decimal"/>
      <w:lvlText w:val="%1."/>
      <w:lvlJc w:val="left"/>
      <w:pPr>
        <w:ind w:left="360" w:hanging="360"/>
      </w:pPr>
      <w:rPr>
        <w:b w:val="0"/>
        <w:bCs/>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6533D53"/>
    <w:multiLevelType w:val="hybridMultilevel"/>
    <w:tmpl w:val="F42CD438"/>
    <w:lvl w:ilvl="0" w:tplc="3B72F45C">
      <w:start w:val="1"/>
      <w:numFmt w:val="bullet"/>
      <w:lvlText w:val="-"/>
      <w:lvlJc w:val="left"/>
      <w:pPr>
        <w:ind w:left="1074" w:hanging="360"/>
      </w:pPr>
      <w:rPr>
        <w:rFonts w:ascii="Public Sans Light" w:eastAsia="Arial" w:hAnsi="Public Sans Light" w:cs="Times New Roman"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3" w15:restartNumberingAfterBreak="0">
    <w:nsid w:val="7B6405BB"/>
    <w:multiLevelType w:val="hybridMultilevel"/>
    <w:tmpl w:val="6FEACA6E"/>
    <w:lvl w:ilvl="0" w:tplc="777C46FE">
      <w:start w:val="1"/>
      <w:numFmt w:val="bullet"/>
      <w:pStyle w:val="Bulletparagraph"/>
      <w:lvlText w:val=""/>
      <w:lvlJc w:val="center"/>
      <w:pPr>
        <w:ind w:left="1080" w:hanging="360"/>
      </w:pPr>
      <w:rPr>
        <w:rFonts w:ascii="Symbol" w:hAnsi="Symbol" w:hint="default"/>
      </w:rPr>
    </w:lvl>
    <w:lvl w:ilvl="1" w:tplc="0C090003">
      <w:start w:val="1"/>
      <w:numFmt w:val="bullet"/>
      <w:pStyle w:val="Bullet2"/>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47049057">
    <w:abstractNumId w:val="10"/>
  </w:num>
  <w:num w:numId="2" w16cid:durableId="1592395940">
    <w:abstractNumId w:val="5"/>
  </w:num>
  <w:num w:numId="3" w16cid:durableId="1111709931">
    <w:abstractNumId w:val="2"/>
  </w:num>
  <w:num w:numId="4" w16cid:durableId="1834300335">
    <w:abstractNumId w:val="4"/>
  </w:num>
  <w:num w:numId="5" w16cid:durableId="578176505">
    <w:abstractNumId w:val="7"/>
  </w:num>
  <w:num w:numId="6" w16cid:durableId="294457344">
    <w:abstractNumId w:val="3"/>
  </w:num>
  <w:num w:numId="7" w16cid:durableId="1607956374">
    <w:abstractNumId w:val="0"/>
  </w:num>
  <w:num w:numId="8" w16cid:durableId="535045004">
    <w:abstractNumId w:val="13"/>
  </w:num>
  <w:num w:numId="9" w16cid:durableId="461580447">
    <w:abstractNumId w:val="3"/>
    <w:lvlOverride w:ilvl="0">
      <w:startOverride w:val="1"/>
    </w:lvlOverride>
  </w:num>
  <w:num w:numId="10" w16cid:durableId="1812017109">
    <w:abstractNumId w:val="3"/>
    <w:lvlOverride w:ilvl="0">
      <w:startOverride w:val="1"/>
    </w:lvlOverride>
  </w:num>
  <w:num w:numId="11" w16cid:durableId="1542090956">
    <w:abstractNumId w:val="3"/>
    <w:lvlOverride w:ilvl="0">
      <w:startOverride w:val="1"/>
    </w:lvlOverride>
  </w:num>
  <w:num w:numId="12" w16cid:durableId="405733457">
    <w:abstractNumId w:val="6"/>
  </w:num>
  <w:num w:numId="13" w16cid:durableId="848526538">
    <w:abstractNumId w:val="8"/>
  </w:num>
  <w:num w:numId="14" w16cid:durableId="187983972">
    <w:abstractNumId w:val="12"/>
  </w:num>
  <w:num w:numId="15" w16cid:durableId="781801126">
    <w:abstractNumId w:val="9"/>
  </w:num>
  <w:num w:numId="16" w16cid:durableId="869029150">
    <w:abstractNumId w:val="11"/>
  </w:num>
  <w:num w:numId="17" w16cid:durableId="163355397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10"/>
    <w:rsid w:val="00002C93"/>
    <w:rsid w:val="00003669"/>
    <w:rsid w:val="000100A3"/>
    <w:rsid w:val="00013CB1"/>
    <w:rsid w:val="00014350"/>
    <w:rsid w:val="00014C53"/>
    <w:rsid w:val="000168F6"/>
    <w:rsid w:val="000207C0"/>
    <w:rsid w:val="000238EA"/>
    <w:rsid w:val="00024EAB"/>
    <w:rsid w:val="00030C2E"/>
    <w:rsid w:val="00030D0E"/>
    <w:rsid w:val="000319D3"/>
    <w:rsid w:val="00034F30"/>
    <w:rsid w:val="000354C9"/>
    <w:rsid w:val="000369F8"/>
    <w:rsid w:val="0004112D"/>
    <w:rsid w:val="00042E51"/>
    <w:rsid w:val="00046ACD"/>
    <w:rsid w:val="0005195B"/>
    <w:rsid w:val="0005292E"/>
    <w:rsid w:val="0005310A"/>
    <w:rsid w:val="0005359F"/>
    <w:rsid w:val="00055F02"/>
    <w:rsid w:val="00056324"/>
    <w:rsid w:val="000608D9"/>
    <w:rsid w:val="00060F4B"/>
    <w:rsid w:val="00061F70"/>
    <w:rsid w:val="00062DBB"/>
    <w:rsid w:val="00065317"/>
    <w:rsid w:val="00067CC1"/>
    <w:rsid w:val="00073360"/>
    <w:rsid w:val="00075DC3"/>
    <w:rsid w:val="00076C3E"/>
    <w:rsid w:val="00081FBB"/>
    <w:rsid w:val="00083406"/>
    <w:rsid w:val="000837C7"/>
    <w:rsid w:val="000848D1"/>
    <w:rsid w:val="000849DE"/>
    <w:rsid w:val="000850BD"/>
    <w:rsid w:val="000862D7"/>
    <w:rsid w:val="00090890"/>
    <w:rsid w:val="00092BED"/>
    <w:rsid w:val="0009411C"/>
    <w:rsid w:val="00096CF7"/>
    <w:rsid w:val="000A3BA2"/>
    <w:rsid w:val="000A4E4F"/>
    <w:rsid w:val="000B4022"/>
    <w:rsid w:val="000B440B"/>
    <w:rsid w:val="000B4A72"/>
    <w:rsid w:val="000B646F"/>
    <w:rsid w:val="000B71C1"/>
    <w:rsid w:val="000C0A3D"/>
    <w:rsid w:val="000C3521"/>
    <w:rsid w:val="000C5D52"/>
    <w:rsid w:val="000C7C94"/>
    <w:rsid w:val="000D0AF6"/>
    <w:rsid w:val="000D1B21"/>
    <w:rsid w:val="000D1CAB"/>
    <w:rsid w:val="000D4D10"/>
    <w:rsid w:val="000D57E0"/>
    <w:rsid w:val="000D587C"/>
    <w:rsid w:val="000D5CAC"/>
    <w:rsid w:val="000D6708"/>
    <w:rsid w:val="000D6B77"/>
    <w:rsid w:val="000E0123"/>
    <w:rsid w:val="000E0434"/>
    <w:rsid w:val="000E5577"/>
    <w:rsid w:val="000E76A1"/>
    <w:rsid w:val="000F221D"/>
    <w:rsid w:val="0010057F"/>
    <w:rsid w:val="001015E2"/>
    <w:rsid w:val="00101AD6"/>
    <w:rsid w:val="001106A0"/>
    <w:rsid w:val="00111775"/>
    <w:rsid w:val="00112A4D"/>
    <w:rsid w:val="001138BA"/>
    <w:rsid w:val="00113A19"/>
    <w:rsid w:val="00115153"/>
    <w:rsid w:val="001157CF"/>
    <w:rsid w:val="00124354"/>
    <w:rsid w:val="00131887"/>
    <w:rsid w:val="0013204F"/>
    <w:rsid w:val="0013421B"/>
    <w:rsid w:val="00134A94"/>
    <w:rsid w:val="001404ED"/>
    <w:rsid w:val="0014157C"/>
    <w:rsid w:val="001419CE"/>
    <w:rsid w:val="001420AE"/>
    <w:rsid w:val="00146504"/>
    <w:rsid w:val="001476EF"/>
    <w:rsid w:val="00150CAE"/>
    <w:rsid w:val="001529F0"/>
    <w:rsid w:val="00153866"/>
    <w:rsid w:val="00156795"/>
    <w:rsid w:val="00156C57"/>
    <w:rsid w:val="00156F61"/>
    <w:rsid w:val="001601DB"/>
    <w:rsid w:val="0016183E"/>
    <w:rsid w:val="001659AC"/>
    <w:rsid w:val="001728CA"/>
    <w:rsid w:val="0017686F"/>
    <w:rsid w:val="00180BFB"/>
    <w:rsid w:val="00183915"/>
    <w:rsid w:val="001868E7"/>
    <w:rsid w:val="00187178"/>
    <w:rsid w:val="00192114"/>
    <w:rsid w:val="00193306"/>
    <w:rsid w:val="00195111"/>
    <w:rsid w:val="001A0984"/>
    <w:rsid w:val="001A250C"/>
    <w:rsid w:val="001A4759"/>
    <w:rsid w:val="001A5455"/>
    <w:rsid w:val="001A5AE2"/>
    <w:rsid w:val="001A628B"/>
    <w:rsid w:val="001A6869"/>
    <w:rsid w:val="001A72A7"/>
    <w:rsid w:val="001A760A"/>
    <w:rsid w:val="001B1209"/>
    <w:rsid w:val="001B1B65"/>
    <w:rsid w:val="001B62EC"/>
    <w:rsid w:val="001C10E8"/>
    <w:rsid w:val="001C28A3"/>
    <w:rsid w:val="001D050B"/>
    <w:rsid w:val="001D0BE3"/>
    <w:rsid w:val="001D381D"/>
    <w:rsid w:val="001D4767"/>
    <w:rsid w:val="001D4C98"/>
    <w:rsid w:val="001D5F6B"/>
    <w:rsid w:val="001D7397"/>
    <w:rsid w:val="001D754D"/>
    <w:rsid w:val="001E04AA"/>
    <w:rsid w:val="001E0611"/>
    <w:rsid w:val="001E0762"/>
    <w:rsid w:val="001E23F5"/>
    <w:rsid w:val="001E2EA6"/>
    <w:rsid w:val="001E3A2A"/>
    <w:rsid w:val="001E3B31"/>
    <w:rsid w:val="001E496A"/>
    <w:rsid w:val="001E56D5"/>
    <w:rsid w:val="001E5E40"/>
    <w:rsid w:val="001E77E3"/>
    <w:rsid w:val="001F422F"/>
    <w:rsid w:val="001F63DA"/>
    <w:rsid w:val="001F6C21"/>
    <w:rsid w:val="0020205A"/>
    <w:rsid w:val="0020614D"/>
    <w:rsid w:val="00212F4C"/>
    <w:rsid w:val="0021587C"/>
    <w:rsid w:val="00216B06"/>
    <w:rsid w:val="00216B6C"/>
    <w:rsid w:val="002218A0"/>
    <w:rsid w:val="0022483C"/>
    <w:rsid w:val="00224DDA"/>
    <w:rsid w:val="00233115"/>
    <w:rsid w:val="00235E19"/>
    <w:rsid w:val="00236267"/>
    <w:rsid w:val="002409AB"/>
    <w:rsid w:val="00240FC4"/>
    <w:rsid w:val="00241A97"/>
    <w:rsid w:val="002445C6"/>
    <w:rsid w:val="00253461"/>
    <w:rsid w:val="002560BF"/>
    <w:rsid w:val="00257302"/>
    <w:rsid w:val="00261C11"/>
    <w:rsid w:val="002649BB"/>
    <w:rsid w:val="00270AC0"/>
    <w:rsid w:val="00271A0C"/>
    <w:rsid w:val="00271F9E"/>
    <w:rsid w:val="002729C4"/>
    <w:rsid w:val="00273AD3"/>
    <w:rsid w:val="0027431B"/>
    <w:rsid w:val="0027645B"/>
    <w:rsid w:val="002810DB"/>
    <w:rsid w:val="00281C96"/>
    <w:rsid w:val="00283306"/>
    <w:rsid w:val="0028490F"/>
    <w:rsid w:val="00292CE4"/>
    <w:rsid w:val="00297149"/>
    <w:rsid w:val="002A1313"/>
    <w:rsid w:val="002A4C95"/>
    <w:rsid w:val="002A4E14"/>
    <w:rsid w:val="002A7725"/>
    <w:rsid w:val="002B2262"/>
    <w:rsid w:val="002B3191"/>
    <w:rsid w:val="002B42C3"/>
    <w:rsid w:val="002B4A98"/>
    <w:rsid w:val="002B4C5A"/>
    <w:rsid w:val="002B7ECB"/>
    <w:rsid w:val="002C0AA5"/>
    <w:rsid w:val="002C0FC8"/>
    <w:rsid w:val="002C3FB9"/>
    <w:rsid w:val="002C3FDE"/>
    <w:rsid w:val="002C4FAD"/>
    <w:rsid w:val="002C633C"/>
    <w:rsid w:val="002C6B90"/>
    <w:rsid w:val="002C6C74"/>
    <w:rsid w:val="002D06D6"/>
    <w:rsid w:val="002D107E"/>
    <w:rsid w:val="002D1F88"/>
    <w:rsid w:val="002D2AA9"/>
    <w:rsid w:val="002D3A20"/>
    <w:rsid w:val="002D6B28"/>
    <w:rsid w:val="002E0C6E"/>
    <w:rsid w:val="002E172A"/>
    <w:rsid w:val="002E2D98"/>
    <w:rsid w:val="002E34BF"/>
    <w:rsid w:val="002E65BE"/>
    <w:rsid w:val="002E67C6"/>
    <w:rsid w:val="002E6D14"/>
    <w:rsid w:val="002E7121"/>
    <w:rsid w:val="002F08B5"/>
    <w:rsid w:val="002F0DE3"/>
    <w:rsid w:val="002F0F43"/>
    <w:rsid w:val="002F1017"/>
    <w:rsid w:val="002F4D3F"/>
    <w:rsid w:val="002F4DBE"/>
    <w:rsid w:val="002F4F81"/>
    <w:rsid w:val="002F5A1E"/>
    <w:rsid w:val="002F6693"/>
    <w:rsid w:val="002F7AC0"/>
    <w:rsid w:val="003029CC"/>
    <w:rsid w:val="00303CA5"/>
    <w:rsid w:val="00305D69"/>
    <w:rsid w:val="0030711E"/>
    <w:rsid w:val="00307E95"/>
    <w:rsid w:val="00315A74"/>
    <w:rsid w:val="00315BEC"/>
    <w:rsid w:val="00317B37"/>
    <w:rsid w:val="00320861"/>
    <w:rsid w:val="00320A84"/>
    <w:rsid w:val="00323DA5"/>
    <w:rsid w:val="0032455E"/>
    <w:rsid w:val="003271C5"/>
    <w:rsid w:val="00327860"/>
    <w:rsid w:val="003322F1"/>
    <w:rsid w:val="00334852"/>
    <w:rsid w:val="00336AAB"/>
    <w:rsid w:val="00340CA0"/>
    <w:rsid w:val="00341903"/>
    <w:rsid w:val="00341EB9"/>
    <w:rsid w:val="003445D2"/>
    <w:rsid w:val="003457F3"/>
    <w:rsid w:val="0035001E"/>
    <w:rsid w:val="0035045D"/>
    <w:rsid w:val="0035137B"/>
    <w:rsid w:val="00351C1D"/>
    <w:rsid w:val="00353985"/>
    <w:rsid w:val="00355B26"/>
    <w:rsid w:val="003567DD"/>
    <w:rsid w:val="0035768D"/>
    <w:rsid w:val="0036051F"/>
    <w:rsid w:val="003624AA"/>
    <w:rsid w:val="00363BCE"/>
    <w:rsid w:val="00364F93"/>
    <w:rsid w:val="003663EF"/>
    <w:rsid w:val="003678DF"/>
    <w:rsid w:val="0037062C"/>
    <w:rsid w:val="003712C7"/>
    <w:rsid w:val="003712E4"/>
    <w:rsid w:val="00375114"/>
    <w:rsid w:val="00376BC8"/>
    <w:rsid w:val="00382DBD"/>
    <w:rsid w:val="00392BB7"/>
    <w:rsid w:val="00393F79"/>
    <w:rsid w:val="0039408E"/>
    <w:rsid w:val="003957D2"/>
    <w:rsid w:val="003A44F5"/>
    <w:rsid w:val="003A4BB4"/>
    <w:rsid w:val="003A4D0E"/>
    <w:rsid w:val="003B0DEF"/>
    <w:rsid w:val="003B19B3"/>
    <w:rsid w:val="003B364C"/>
    <w:rsid w:val="003B70B7"/>
    <w:rsid w:val="003B76B5"/>
    <w:rsid w:val="003C0240"/>
    <w:rsid w:val="003C0C07"/>
    <w:rsid w:val="003C3E43"/>
    <w:rsid w:val="003C5308"/>
    <w:rsid w:val="003C5850"/>
    <w:rsid w:val="003C707F"/>
    <w:rsid w:val="003D0FBC"/>
    <w:rsid w:val="003D3673"/>
    <w:rsid w:val="003D56F4"/>
    <w:rsid w:val="003E1C01"/>
    <w:rsid w:val="003E5CA8"/>
    <w:rsid w:val="003F1629"/>
    <w:rsid w:val="003F200C"/>
    <w:rsid w:val="003F2EE2"/>
    <w:rsid w:val="003F443B"/>
    <w:rsid w:val="003F5577"/>
    <w:rsid w:val="004000B5"/>
    <w:rsid w:val="0040013E"/>
    <w:rsid w:val="00403322"/>
    <w:rsid w:val="00404B96"/>
    <w:rsid w:val="00407CA5"/>
    <w:rsid w:val="004115B2"/>
    <w:rsid w:val="00411DDF"/>
    <w:rsid w:val="00414BBA"/>
    <w:rsid w:val="004154BF"/>
    <w:rsid w:val="00416BA0"/>
    <w:rsid w:val="00423A9B"/>
    <w:rsid w:val="00423CDF"/>
    <w:rsid w:val="0042471A"/>
    <w:rsid w:val="00427089"/>
    <w:rsid w:val="0043042C"/>
    <w:rsid w:val="00433D25"/>
    <w:rsid w:val="0043431C"/>
    <w:rsid w:val="004346A3"/>
    <w:rsid w:val="004409B4"/>
    <w:rsid w:val="00440CCD"/>
    <w:rsid w:val="00447A51"/>
    <w:rsid w:val="004523B3"/>
    <w:rsid w:val="004564B0"/>
    <w:rsid w:val="004574EA"/>
    <w:rsid w:val="00460615"/>
    <w:rsid w:val="00461B89"/>
    <w:rsid w:val="00463E49"/>
    <w:rsid w:val="00465CD8"/>
    <w:rsid w:val="00467C90"/>
    <w:rsid w:val="00470719"/>
    <w:rsid w:val="00473B57"/>
    <w:rsid w:val="00473FB7"/>
    <w:rsid w:val="0047471A"/>
    <w:rsid w:val="00475485"/>
    <w:rsid w:val="004804B0"/>
    <w:rsid w:val="004826C0"/>
    <w:rsid w:val="00482BB0"/>
    <w:rsid w:val="00482E74"/>
    <w:rsid w:val="00483086"/>
    <w:rsid w:val="00484287"/>
    <w:rsid w:val="004847CF"/>
    <w:rsid w:val="00487A36"/>
    <w:rsid w:val="00492B89"/>
    <w:rsid w:val="004951A2"/>
    <w:rsid w:val="00495392"/>
    <w:rsid w:val="00495E5B"/>
    <w:rsid w:val="00496C9A"/>
    <w:rsid w:val="004979F2"/>
    <w:rsid w:val="004A051A"/>
    <w:rsid w:val="004A2480"/>
    <w:rsid w:val="004A4836"/>
    <w:rsid w:val="004A4AE8"/>
    <w:rsid w:val="004A6EA8"/>
    <w:rsid w:val="004A7EA0"/>
    <w:rsid w:val="004B7CFA"/>
    <w:rsid w:val="004C0152"/>
    <w:rsid w:val="004C02EC"/>
    <w:rsid w:val="004C14FF"/>
    <w:rsid w:val="004C1A21"/>
    <w:rsid w:val="004C1FE7"/>
    <w:rsid w:val="004C35B2"/>
    <w:rsid w:val="004C5133"/>
    <w:rsid w:val="004C78EC"/>
    <w:rsid w:val="004C79AD"/>
    <w:rsid w:val="004D3148"/>
    <w:rsid w:val="004D53FB"/>
    <w:rsid w:val="004D6E70"/>
    <w:rsid w:val="004E3F98"/>
    <w:rsid w:val="004F043F"/>
    <w:rsid w:val="004F1A70"/>
    <w:rsid w:val="004F24B5"/>
    <w:rsid w:val="004F4880"/>
    <w:rsid w:val="004F53E6"/>
    <w:rsid w:val="004F579B"/>
    <w:rsid w:val="004F59D8"/>
    <w:rsid w:val="004F668A"/>
    <w:rsid w:val="004F6D4C"/>
    <w:rsid w:val="004F6DCC"/>
    <w:rsid w:val="004F70A0"/>
    <w:rsid w:val="004F77CB"/>
    <w:rsid w:val="00500B67"/>
    <w:rsid w:val="00501618"/>
    <w:rsid w:val="00502007"/>
    <w:rsid w:val="0050267A"/>
    <w:rsid w:val="00503F54"/>
    <w:rsid w:val="0050492C"/>
    <w:rsid w:val="00504DD5"/>
    <w:rsid w:val="00506BB1"/>
    <w:rsid w:val="00507CA0"/>
    <w:rsid w:val="0051243D"/>
    <w:rsid w:val="0051398B"/>
    <w:rsid w:val="00514BA8"/>
    <w:rsid w:val="0051606F"/>
    <w:rsid w:val="00517CB0"/>
    <w:rsid w:val="00520735"/>
    <w:rsid w:val="005218C6"/>
    <w:rsid w:val="0052198F"/>
    <w:rsid w:val="00521D48"/>
    <w:rsid w:val="0052399F"/>
    <w:rsid w:val="00524242"/>
    <w:rsid w:val="0052585B"/>
    <w:rsid w:val="005268EE"/>
    <w:rsid w:val="00526AB3"/>
    <w:rsid w:val="005271CB"/>
    <w:rsid w:val="005271CD"/>
    <w:rsid w:val="005277DB"/>
    <w:rsid w:val="00527FB1"/>
    <w:rsid w:val="00531980"/>
    <w:rsid w:val="0053238E"/>
    <w:rsid w:val="00533E3A"/>
    <w:rsid w:val="00534CA4"/>
    <w:rsid w:val="00534D97"/>
    <w:rsid w:val="00537801"/>
    <w:rsid w:val="0053783D"/>
    <w:rsid w:val="00540808"/>
    <w:rsid w:val="005436BC"/>
    <w:rsid w:val="00543D24"/>
    <w:rsid w:val="00544B20"/>
    <w:rsid w:val="00544E33"/>
    <w:rsid w:val="00550F70"/>
    <w:rsid w:val="00553F73"/>
    <w:rsid w:val="00555D13"/>
    <w:rsid w:val="00564224"/>
    <w:rsid w:val="00564321"/>
    <w:rsid w:val="005667C9"/>
    <w:rsid w:val="005668BE"/>
    <w:rsid w:val="00566B72"/>
    <w:rsid w:val="0057167A"/>
    <w:rsid w:val="00573BA5"/>
    <w:rsid w:val="005748FB"/>
    <w:rsid w:val="00574BE6"/>
    <w:rsid w:val="00577F49"/>
    <w:rsid w:val="00581D81"/>
    <w:rsid w:val="0058578D"/>
    <w:rsid w:val="00585A59"/>
    <w:rsid w:val="005866E0"/>
    <w:rsid w:val="00586CF7"/>
    <w:rsid w:val="00587F9E"/>
    <w:rsid w:val="005916A5"/>
    <w:rsid w:val="0059207E"/>
    <w:rsid w:val="00594DAC"/>
    <w:rsid w:val="005A08CA"/>
    <w:rsid w:val="005A0F5B"/>
    <w:rsid w:val="005A1041"/>
    <w:rsid w:val="005A1CD9"/>
    <w:rsid w:val="005A3365"/>
    <w:rsid w:val="005A3D3C"/>
    <w:rsid w:val="005A4D28"/>
    <w:rsid w:val="005A7D08"/>
    <w:rsid w:val="005B2F8C"/>
    <w:rsid w:val="005B4F19"/>
    <w:rsid w:val="005B5BB5"/>
    <w:rsid w:val="005B5E62"/>
    <w:rsid w:val="005C25D1"/>
    <w:rsid w:val="005C5152"/>
    <w:rsid w:val="005C5613"/>
    <w:rsid w:val="005C7C60"/>
    <w:rsid w:val="005D03B4"/>
    <w:rsid w:val="005D06E8"/>
    <w:rsid w:val="005D28D4"/>
    <w:rsid w:val="005D6227"/>
    <w:rsid w:val="005D66AB"/>
    <w:rsid w:val="005D6E71"/>
    <w:rsid w:val="005E0AA5"/>
    <w:rsid w:val="005E0D17"/>
    <w:rsid w:val="005E14E8"/>
    <w:rsid w:val="005E240B"/>
    <w:rsid w:val="005E31E5"/>
    <w:rsid w:val="005E5EC0"/>
    <w:rsid w:val="005F0C19"/>
    <w:rsid w:val="005F1786"/>
    <w:rsid w:val="005F252B"/>
    <w:rsid w:val="005F2B60"/>
    <w:rsid w:val="005F3C7E"/>
    <w:rsid w:val="005F4E21"/>
    <w:rsid w:val="005F5E31"/>
    <w:rsid w:val="005F5E52"/>
    <w:rsid w:val="005F60A6"/>
    <w:rsid w:val="005F7302"/>
    <w:rsid w:val="005F7D72"/>
    <w:rsid w:val="00601B0A"/>
    <w:rsid w:val="006027E7"/>
    <w:rsid w:val="00605CD9"/>
    <w:rsid w:val="006118E4"/>
    <w:rsid w:val="00611D6D"/>
    <w:rsid w:val="00611DF9"/>
    <w:rsid w:val="0061342B"/>
    <w:rsid w:val="00613C86"/>
    <w:rsid w:val="00613E53"/>
    <w:rsid w:val="00620437"/>
    <w:rsid w:val="00620953"/>
    <w:rsid w:val="00620FF7"/>
    <w:rsid w:val="00623F6E"/>
    <w:rsid w:val="00624135"/>
    <w:rsid w:val="006252BD"/>
    <w:rsid w:val="00625DE8"/>
    <w:rsid w:val="006269DD"/>
    <w:rsid w:val="006276BF"/>
    <w:rsid w:val="00627718"/>
    <w:rsid w:val="006313C8"/>
    <w:rsid w:val="00632C87"/>
    <w:rsid w:val="00632FB9"/>
    <w:rsid w:val="00633B07"/>
    <w:rsid w:val="00640E23"/>
    <w:rsid w:val="006415A2"/>
    <w:rsid w:val="006429A7"/>
    <w:rsid w:val="00644A78"/>
    <w:rsid w:val="00645387"/>
    <w:rsid w:val="00645ECE"/>
    <w:rsid w:val="0064755D"/>
    <w:rsid w:val="00647708"/>
    <w:rsid w:val="0065151A"/>
    <w:rsid w:val="00652081"/>
    <w:rsid w:val="00654434"/>
    <w:rsid w:val="00654D8D"/>
    <w:rsid w:val="006550A7"/>
    <w:rsid w:val="00655CA9"/>
    <w:rsid w:val="0066139C"/>
    <w:rsid w:val="006630D0"/>
    <w:rsid w:val="00665BF9"/>
    <w:rsid w:val="00666DD6"/>
    <w:rsid w:val="00675B76"/>
    <w:rsid w:val="0067638B"/>
    <w:rsid w:val="00677763"/>
    <w:rsid w:val="00681637"/>
    <w:rsid w:val="00682CDA"/>
    <w:rsid w:val="006920BC"/>
    <w:rsid w:val="006A53BA"/>
    <w:rsid w:val="006A756B"/>
    <w:rsid w:val="006B0A08"/>
    <w:rsid w:val="006B1AE6"/>
    <w:rsid w:val="006B2C92"/>
    <w:rsid w:val="006B3185"/>
    <w:rsid w:val="006C2A60"/>
    <w:rsid w:val="006C4372"/>
    <w:rsid w:val="006C4799"/>
    <w:rsid w:val="006D0397"/>
    <w:rsid w:val="006D041E"/>
    <w:rsid w:val="006D04DA"/>
    <w:rsid w:val="006D5992"/>
    <w:rsid w:val="006D5AD0"/>
    <w:rsid w:val="006D5FB6"/>
    <w:rsid w:val="006D649C"/>
    <w:rsid w:val="006D7F31"/>
    <w:rsid w:val="006E0E70"/>
    <w:rsid w:val="006E112C"/>
    <w:rsid w:val="006E4A18"/>
    <w:rsid w:val="006E5FC1"/>
    <w:rsid w:val="006E74D8"/>
    <w:rsid w:val="006E76C9"/>
    <w:rsid w:val="006E79DB"/>
    <w:rsid w:val="00700CA5"/>
    <w:rsid w:val="007020D6"/>
    <w:rsid w:val="00703162"/>
    <w:rsid w:val="00712DB0"/>
    <w:rsid w:val="0071495B"/>
    <w:rsid w:val="00715674"/>
    <w:rsid w:val="00717294"/>
    <w:rsid w:val="00717E28"/>
    <w:rsid w:val="0072008C"/>
    <w:rsid w:val="00721FEA"/>
    <w:rsid w:val="00722AFB"/>
    <w:rsid w:val="00724531"/>
    <w:rsid w:val="00727C53"/>
    <w:rsid w:val="00732BC1"/>
    <w:rsid w:val="00734496"/>
    <w:rsid w:val="00740B38"/>
    <w:rsid w:val="00742F66"/>
    <w:rsid w:val="00745169"/>
    <w:rsid w:val="007451C3"/>
    <w:rsid w:val="007452FF"/>
    <w:rsid w:val="007454F4"/>
    <w:rsid w:val="00750031"/>
    <w:rsid w:val="007511B4"/>
    <w:rsid w:val="00751467"/>
    <w:rsid w:val="007514B7"/>
    <w:rsid w:val="00752CEC"/>
    <w:rsid w:val="00754898"/>
    <w:rsid w:val="00761179"/>
    <w:rsid w:val="0076385B"/>
    <w:rsid w:val="00763C24"/>
    <w:rsid w:val="00764826"/>
    <w:rsid w:val="00764FC7"/>
    <w:rsid w:val="007708C9"/>
    <w:rsid w:val="007772E3"/>
    <w:rsid w:val="00781CD2"/>
    <w:rsid w:val="00783174"/>
    <w:rsid w:val="007852E3"/>
    <w:rsid w:val="00786E6B"/>
    <w:rsid w:val="00790147"/>
    <w:rsid w:val="00790168"/>
    <w:rsid w:val="00791851"/>
    <w:rsid w:val="00793778"/>
    <w:rsid w:val="007976AC"/>
    <w:rsid w:val="007A2382"/>
    <w:rsid w:val="007A2961"/>
    <w:rsid w:val="007A3779"/>
    <w:rsid w:val="007A4067"/>
    <w:rsid w:val="007A40B2"/>
    <w:rsid w:val="007A6675"/>
    <w:rsid w:val="007A6A4B"/>
    <w:rsid w:val="007A7FA3"/>
    <w:rsid w:val="007B1280"/>
    <w:rsid w:val="007B273F"/>
    <w:rsid w:val="007B56E3"/>
    <w:rsid w:val="007B5F18"/>
    <w:rsid w:val="007B75E6"/>
    <w:rsid w:val="007C0E98"/>
    <w:rsid w:val="007C436B"/>
    <w:rsid w:val="007C4FAF"/>
    <w:rsid w:val="007C5C5D"/>
    <w:rsid w:val="007C6E42"/>
    <w:rsid w:val="007C7D91"/>
    <w:rsid w:val="007D1959"/>
    <w:rsid w:val="007D43A3"/>
    <w:rsid w:val="007D5EA0"/>
    <w:rsid w:val="007D62B7"/>
    <w:rsid w:val="007E51BF"/>
    <w:rsid w:val="007E63D3"/>
    <w:rsid w:val="007F7852"/>
    <w:rsid w:val="00800CB7"/>
    <w:rsid w:val="00801040"/>
    <w:rsid w:val="00802606"/>
    <w:rsid w:val="008027D0"/>
    <w:rsid w:val="00805CA0"/>
    <w:rsid w:val="00805D80"/>
    <w:rsid w:val="0080630B"/>
    <w:rsid w:val="00810E3A"/>
    <w:rsid w:val="00811D9E"/>
    <w:rsid w:val="008123F0"/>
    <w:rsid w:val="00817455"/>
    <w:rsid w:val="0082084F"/>
    <w:rsid w:val="00820CB3"/>
    <w:rsid w:val="008274FF"/>
    <w:rsid w:val="008352D5"/>
    <w:rsid w:val="008413BC"/>
    <w:rsid w:val="00841CCB"/>
    <w:rsid w:val="0084309C"/>
    <w:rsid w:val="008433D6"/>
    <w:rsid w:val="00843A4A"/>
    <w:rsid w:val="00851DE8"/>
    <w:rsid w:val="00852196"/>
    <w:rsid w:val="00852D34"/>
    <w:rsid w:val="0085403C"/>
    <w:rsid w:val="00864B67"/>
    <w:rsid w:val="00865B01"/>
    <w:rsid w:val="00866304"/>
    <w:rsid w:val="008676E8"/>
    <w:rsid w:val="00870642"/>
    <w:rsid w:val="008740E8"/>
    <w:rsid w:val="0087449D"/>
    <w:rsid w:val="00876CB2"/>
    <w:rsid w:val="00880D46"/>
    <w:rsid w:val="008828C9"/>
    <w:rsid w:val="00883A3B"/>
    <w:rsid w:val="00884671"/>
    <w:rsid w:val="00885FBB"/>
    <w:rsid w:val="008879EF"/>
    <w:rsid w:val="00891429"/>
    <w:rsid w:val="00891FB9"/>
    <w:rsid w:val="00894241"/>
    <w:rsid w:val="0089425F"/>
    <w:rsid w:val="008A4267"/>
    <w:rsid w:val="008A55FD"/>
    <w:rsid w:val="008A6C07"/>
    <w:rsid w:val="008B0346"/>
    <w:rsid w:val="008B5D2B"/>
    <w:rsid w:val="008C02D5"/>
    <w:rsid w:val="008C23A0"/>
    <w:rsid w:val="008C45B2"/>
    <w:rsid w:val="008C5A4A"/>
    <w:rsid w:val="008D19BC"/>
    <w:rsid w:val="008D3E07"/>
    <w:rsid w:val="008D4E90"/>
    <w:rsid w:val="008D5F35"/>
    <w:rsid w:val="008D701F"/>
    <w:rsid w:val="008D725D"/>
    <w:rsid w:val="008E262F"/>
    <w:rsid w:val="008E3A06"/>
    <w:rsid w:val="008F1B22"/>
    <w:rsid w:val="008F1BD4"/>
    <w:rsid w:val="008F2510"/>
    <w:rsid w:val="008F3369"/>
    <w:rsid w:val="008F5890"/>
    <w:rsid w:val="008F671A"/>
    <w:rsid w:val="00900EE3"/>
    <w:rsid w:val="009015F6"/>
    <w:rsid w:val="009022C6"/>
    <w:rsid w:val="00904D83"/>
    <w:rsid w:val="00905970"/>
    <w:rsid w:val="00912877"/>
    <w:rsid w:val="00914485"/>
    <w:rsid w:val="00915703"/>
    <w:rsid w:val="009159FA"/>
    <w:rsid w:val="009175E1"/>
    <w:rsid w:val="009206B4"/>
    <w:rsid w:val="0092179E"/>
    <w:rsid w:val="00921B62"/>
    <w:rsid w:val="00921F68"/>
    <w:rsid w:val="00921FD3"/>
    <w:rsid w:val="009220D7"/>
    <w:rsid w:val="00922326"/>
    <w:rsid w:val="00922C7A"/>
    <w:rsid w:val="009264F0"/>
    <w:rsid w:val="00926A42"/>
    <w:rsid w:val="00930707"/>
    <w:rsid w:val="00930A23"/>
    <w:rsid w:val="0093463B"/>
    <w:rsid w:val="009353EB"/>
    <w:rsid w:val="009367A9"/>
    <w:rsid w:val="009374DE"/>
    <w:rsid w:val="00940A26"/>
    <w:rsid w:val="00942939"/>
    <w:rsid w:val="00943294"/>
    <w:rsid w:val="00946C9F"/>
    <w:rsid w:val="00950C79"/>
    <w:rsid w:val="00951634"/>
    <w:rsid w:val="00952937"/>
    <w:rsid w:val="0095466A"/>
    <w:rsid w:val="00957BDD"/>
    <w:rsid w:val="00966A53"/>
    <w:rsid w:val="00970CFE"/>
    <w:rsid w:val="009713DE"/>
    <w:rsid w:val="00973BFA"/>
    <w:rsid w:val="009754E1"/>
    <w:rsid w:val="00982118"/>
    <w:rsid w:val="0098350D"/>
    <w:rsid w:val="00983DB2"/>
    <w:rsid w:val="00986B43"/>
    <w:rsid w:val="00991E1C"/>
    <w:rsid w:val="00994AF2"/>
    <w:rsid w:val="009977D9"/>
    <w:rsid w:val="009979FC"/>
    <w:rsid w:val="009A31A2"/>
    <w:rsid w:val="009A3719"/>
    <w:rsid w:val="009A5A0A"/>
    <w:rsid w:val="009A6B1B"/>
    <w:rsid w:val="009B0C2F"/>
    <w:rsid w:val="009B30B2"/>
    <w:rsid w:val="009B31E4"/>
    <w:rsid w:val="009B382A"/>
    <w:rsid w:val="009B3CC4"/>
    <w:rsid w:val="009C2093"/>
    <w:rsid w:val="009C72A0"/>
    <w:rsid w:val="009C7866"/>
    <w:rsid w:val="009C7A7F"/>
    <w:rsid w:val="009C7DBD"/>
    <w:rsid w:val="009D0187"/>
    <w:rsid w:val="009D0A63"/>
    <w:rsid w:val="009D20DB"/>
    <w:rsid w:val="009D2FED"/>
    <w:rsid w:val="009D3EB4"/>
    <w:rsid w:val="009E0060"/>
    <w:rsid w:val="009E0E05"/>
    <w:rsid w:val="009E1005"/>
    <w:rsid w:val="009E1A1F"/>
    <w:rsid w:val="009E1CA2"/>
    <w:rsid w:val="009E4786"/>
    <w:rsid w:val="009E4B8E"/>
    <w:rsid w:val="009E62E1"/>
    <w:rsid w:val="009E7BDE"/>
    <w:rsid w:val="009F6070"/>
    <w:rsid w:val="00A00CBC"/>
    <w:rsid w:val="00A010F0"/>
    <w:rsid w:val="00A05561"/>
    <w:rsid w:val="00A0763F"/>
    <w:rsid w:val="00A101A4"/>
    <w:rsid w:val="00A12D3F"/>
    <w:rsid w:val="00A13950"/>
    <w:rsid w:val="00A177EB"/>
    <w:rsid w:val="00A20D01"/>
    <w:rsid w:val="00A20E01"/>
    <w:rsid w:val="00A23F2E"/>
    <w:rsid w:val="00A263B1"/>
    <w:rsid w:val="00A27307"/>
    <w:rsid w:val="00A34EB7"/>
    <w:rsid w:val="00A359D6"/>
    <w:rsid w:val="00A359FF"/>
    <w:rsid w:val="00A35E05"/>
    <w:rsid w:val="00A373FF"/>
    <w:rsid w:val="00A37B20"/>
    <w:rsid w:val="00A40D72"/>
    <w:rsid w:val="00A42467"/>
    <w:rsid w:val="00A47AFD"/>
    <w:rsid w:val="00A47B2F"/>
    <w:rsid w:val="00A61172"/>
    <w:rsid w:val="00A623B7"/>
    <w:rsid w:val="00A63031"/>
    <w:rsid w:val="00A65014"/>
    <w:rsid w:val="00A7023A"/>
    <w:rsid w:val="00A74B77"/>
    <w:rsid w:val="00A755A1"/>
    <w:rsid w:val="00A8321B"/>
    <w:rsid w:val="00A855AB"/>
    <w:rsid w:val="00A85D0F"/>
    <w:rsid w:val="00A87139"/>
    <w:rsid w:val="00A87C12"/>
    <w:rsid w:val="00A92229"/>
    <w:rsid w:val="00A93368"/>
    <w:rsid w:val="00A96CAA"/>
    <w:rsid w:val="00AA2944"/>
    <w:rsid w:val="00AA57D6"/>
    <w:rsid w:val="00AA591D"/>
    <w:rsid w:val="00AA7674"/>
    <w:rsid w:val="00AB03A7"/>
    <w:rsid w:val="00AB27C8"/>
    <w:rsid w:val="00AB6D52"/>
    <w:rsid w:val="00AC3663"/>
    <w:rsid w:val="00AC504B"/>
    <w:rsid w:val="00AC5770"/>
    <w:rsid w:val="00AC5A0A"/>
    <w:rsid w:val="00AC70F2"/>
    <w:rsid w:val="00AC788B"/>
    <w:rsid w:val="00AD047F"/>
    <w:rsid w:val="00AD053A"/>
    <w:rsid w:val="00AD0556"/>
    <w:rsid w:val="00AD3B53"/>
    <w:rsid w:val="00AD5138"/>
    <w:rsid w:val="00AD66F2"/>
    <w:rsid w:val="00AD6B54"/>
    <w:rsid w:val="00AF3631"/>
    <w:rsid w:val="00B03FAD"/>
    <w:rsid w:val="00B10E57"/>
    <w:rsid w:val="00B13902"/>
    <w:rsid w:val="00B16033"/>
    <w:rsid w:val="00B16990"/>
    <w:rsid w:val="00B17909"/>
    <w:rsid w:val="00B17B08"/>
    <w:rsid w:val="00B20486"/>
    <w:rsid w:val="00B20576"/>
    <w:rsid w:val="00B21699"/>
    <w:rsid w:val="00B25764"/>
    <w:rsid w:val="00B366D8"/>
    <w:rsid w:val="00B3756B"/>
    <w:rsid w:val="00B41746"/>
    <w:rsid w:val="00B43A4A"/>
    <w:rsid w:val="00B44BB1"/>
    <w:rsid w:val="00B4535E"/>
    <w:rsid w:val="00B45C9B"/>
    <w:rsid w:val="00B4618E"/>
    <w:rsid w:val="00B501D3"/>
    <w:rsid w:val="00B52CE5"/>
    <w:rsid w:val="00B6075A"/>
    <w:rsid w:val="00B6392E"/>
    <w:rsid w:val="00B66A98"/>
    <w:rsid w:val="00B66BED"/>
    <w:rsid w:val="00B71669"/>
    <w:rsid w:val="00B730EC"/>
    <w:rsid w:val="00B7379A"/>
    <w:rsid w:val="00B74D35"/>
    <w:rsid w:val="00B770E1"/>
    <w:rsid w:val="00B80503"/>
    <w:rsid w:val="00B84B07"/>
    <w:rsid w:val="00B85FC7"/>
    <w:rsid w:val="00B87734"/>
    <w:rsid w:val="00B91461"/>
    <w:rsid w:val="00B9184B"/>
    <w:rsid w:val="00B91E90"/>
    <w:rsid w:val="00B931C6"/>
    <w:rsid w:val="00B94A55"/>
    <w:rsid w:val="00B95086"/>
    <w:rsid w:val="00B9740B"/>
    <w:rsid w:val="00BA083D"/>
    <w:rsid w:val="00BA55D3"/>
    <w:rsid w:val="00BA603B"/>
    <w:rsid w:val="00BA6AC4"/>
    <w:rsid w:val="00BA7C51"/>
    <w:rsid w:val="00BB00A2"/>
    <w:rsid w:val="00BB1B2B"/>
    <w:rsid w:val="00BB4C3A"/>
    <w:rsid w:val="00BB5E56"/>
    <w:rsid w:val="00BC05AF"/>
    <w:rsid w:val="00BC2680"/>
    <w:rsid w:val="00BC6ADB"/>
    <w:rsid w:val="00BD0360"/>
    <w:rsid w:val="00BD28ED"/>
    <w:rsid w:val="00BD3BDE"/>
    <w:rsid w:val="00BD3DF9"/>
    <w:rsid w:val="00BD4165"/>
    <w:rsid w:val="00BD5B4B"/>
    <w:rsid w:val="00BD7514"/>
    <w:rsid w:val="00BE02CE"/>
    <w:rsid w:val="00BE0B70"/>
    <w:rsid w:val="00BE3F7B"/>
    <w:rsid w:val="00BE7E81"/>
    <w:rsid w:val="00BF32A2"/>
    <w:rsid w:val="00BF4BBA"/>
    <w:rsid w:val="00BF6DE6"/>
    <w:rsid w:val="00C0155B"/>
    <w:rsid w:val="00C01E95"/>
    <w:rsid w:val="00C06B15"/>
    <w:rsid w:val="00C07569"/>
    <w:rsid w:val="00C07A9F"/>
    <w:rsid w:val="00C104FD"/>
    <w:rsid w:val="00C11E54"/>
    <w:rsid w:val="00C12988"/>
    <w:rsid w:val="00C1506D"/>
    <w:rsid w:val="00C159BC"/>
    <w:rsid w:val="00C15B86"/>
    <w:rsid w:val="00C168BE"/>
    <w:rsid w:val="00C1728A"/>
    <w:rsid w:val="00C21CF3"/>
    <w:rsid w:val="00C23777"/>
    <w:rsid w:val="00C24982"/>
    <w:rsid w:val="00C26FE3"/>
    <w:rsid w:val="00C273C2"/>
    <w:rsid w:val="00C27BAF"/>
    <w:rsid w:val="00C307FD"/>
    <w:rsid w:val="00C3182E"/>
    <w:rsid w:val="00C31BE6"/>
    <w:rsid w:val="00C3362F"/>
    <w:rsid w:val="00C33E54"/>
    <w:rsid w:val="00C36956"/>
    <w:rsid w:val="00C40BCE"/>
    <w:rsid w:val="00C44E6C"/>
    <w:rsid w:val="00C45A97"/>
    <w:rsid w:val="00C509DC"/>
    <w:rsid w:val="00C515B8"/>
    <w:rsid w:val="00C51A5E"/>
    <w:rsid w:val="00C53185"/>
    <w:rsid w:val="00C53291"/>
    <w:rsid w:val="00C572B1"/>
    <w:rsid w:val="00C62FCD"/>
    <w:rsid w:val="00C6327D"/>
    <w:rsid w:val="00C649CD"/>
    <w:rsid w:val="00C64F4B"/>
    <w:rsid w:val="00C65153"/>
    <w:rsid w:val="00C74887"/>
    <w:rsid w:val="00C74E83"/>
    <w:rsid w:val="00C77961"/>
    <w:rsid w:val="00C82201"/>
    <w:rsid w:val="00C8237C"/>
    <w:rsid w:val="00C854AC"/>
    <w:rsid w:val="00C86AC9"/>
    <w:rsid w:val="00C901C1"/>
    <w:rsid w:val="00C91EDF"/>
    <w:rsid w:val="00C95A6A"/>
    <w:rsid w:val="00C972B9"/>
    <w:rsid w:val="00CA0225"/>
    <w:rsid w:val="00CA0DAF"/>
    <w:rsid w:val="00CA0F89"/>
    <w:rsid w:val="00CA19DD"/>
    <w:rsid w:val="00CA1B37"/>
    <w:rsid w:val="00CA23DA"/>
    <w:rsid w:val="00CA4083"/>
    <w:rsid w:val="00CA53A0"/>
    <w:rsid w:val="00CA5853"/>
    <w:rsid w:val="00CA6491"/>
    <w:rsid w:val="00CA74B5"/>
    <w:rsid w:val="00CB1A2B"/>
    <w:rsid w:val="00CB67F0"/>
    <w:rsid w:val="00CC01AE"/>
    <w:rsid w:val="00CC23CE"/>
    <w:rsid w:val="00CC400B"/>
    <w:rsid w:val="00CD1157"/>
    <w:rsid w:val="00CD22E7"/>
    <w:rsid w:val="00CD3E90"/>
    <w:rsid w:val="00CD4249"/>
    <w:rsid w:val="00CE00DA"/>
    <w:rsid w:val="00CE0363"/>
    <w:rsid w:val="00CE4E8A"/>
    <w:rsid w:val="00CE726C"/>
    <w:rsid w:val="00CF110E"/>
    <w:rsid w:val="00CF2F5A"/>
    <w:rsid w:val="00CF5A37"/>
    <w:rsid w:val="00CF6BF3"/>
    <w:rsid w:val="00CF6D15"/>
    <w:rsid w:val="00D015E0"/>
    <w:rsid w:val="00D01B74"/>
    <w:rsid w:val="00D02558"/>
    <w:rsid w:val="00D03C77"/>
    <w:rsid w:val="00D04136"/>
    <w:rsid w:val="00D05A52"/>
    <w:rsid w:val="00D12185"/>
    <w:rsid w:val="00D121C9"/>
    <w:rsid w:val="00D13ACE"/>
    <w:rsid w:val="00D1583E"/>
    <w:rsid w:val="00D15AC0"/>
    <w:rsid w:val="00D16E49"/>
    <w:rsid w:val="00D204FB"/>
    <w:rsid w:val="00D20C39"/>
    <w:rsid w:val="00D20F63"/>
    <w:rsid w:val="00D2294B"/>
    <w:rsid w:val="00D234A2"/>
    <w:rsid w:val="00D2763E"/>
    <w:rsid w:val="00D3139F"/>
    <w:rsid w:val="00D31A1C"/>
    <w:rsid w:val="00D331C8"/>
    <w:rsid w:val="00D35D66"/>
    <w:rsid w:val="00D36036"/>
    <w:rsid w:val="00D4026B"/>
    <w:rsid w:val="00D402D2"/>
    <w:rsid w:val="00D4065E"/>
    <w:rsid w:val="00D413A5"/>
    <w:rsid w:val="00D42CE7"/>
    <w:rsid w:val="00D44310"/>
    <w:rsid w:val="00D4439F"/>
    <w:rsid w:val="00D44F11"/>
    <w:rsid w:val="00D453E4"/>
    <w:rsid w:val="00D46BF8"/>
    <w:rsid w:val="00D47BE0"/>
    <w:rsid w:val="00D507EE"/>
    <w:rsid w:val="00D51B8A"/>
    <w:rsid w:val="00D61433"/>
    <w:rsid w:val="00D63247"/>
    <w:rsid w:val="00D637DB"/>
    <w:rsid w:val="00D66163"/>
    <w:rsid w:val="00D677E5"/>
    <w:rsid w:val="00D67C9E"/>
    <w:rsid w:val="00D70F7A"/>
    <w:rsid w:val="00D72901"/>
    <w:rsid w:val="00D7343F"/>
    <w:rsid w:val="00D76CA2"/>
    <w:rsid w:val="00D83B33"/>
    <w:rsid w:val="00D847B1"/>
    <w:rsid w:val="00D8547E"/>
    <w:rsid w:val="00D8562B"/>
    <w:rsid w:val="00D85B37"/>
    <w:rsid w:val="00D87EC4"/>
    <w:rsid w:val="00D9016A"/>
    <w:rsid w:val="00D95B40"/>
    <w:rsid w:val="00DA0CFA"/>
    <w:rsid w:val="00DA191A"/>
    <w:rsid w:val="00DA1B2A"/>
    <w:rsid w:val="00DA3DE6"/>
    <w:rsid w:val="00DB30BF"/>
    <w:rsid w:val="00DB387E"/>
    <w:rsid w:val="00DB3F18"/>
    <w:rsid w:val="00DB5354"/>
    <w:rsid w:val="00DB7BED"/>
    <w:rsid w:val="00DC17F2"/>
    <w:rsid w:val="00DC3203"/>
    <w:rsid w:val="00DC4121"/>
    <w:rsid w:val="00DC4781"/>
    <w:rsid w:val="00DC5C8D"/>
    <w:rsid w:val="00DC6A0B"/>
    <w:rsid w:val="00DC783F"/>
    <w:rsid w:val="00DD0D53"/>
    <w:rsid w:val="00DD17DF"/>
    <w:rsid w:val="00DD1B02"/>
    <w:rsid w:val="00DD24C7"/>
    <w:rsid w:val="00DD3473"/>
    <w:rsid w:val="00DD3ABB"/>
    <w:rsid w:val="00DD3CD1"/>
    <w:rsid w:val="00DD502A"/>
    <w:rsid w:val="00DD5612"/>
    <w:rsid w:val="00DE03BF"/>
    <w:rsid w:val="00DE0CCA"/>
    <w:rsid w:val="00DE0F17"/>
    <w:rsid w:val="00DE5CC1"/>
    <w:rsid w:val="00DF21A5"/>
    <w:rsid w:val="00DF37B9"/>
    <w:rsid w:val="00DF39A5"/>
    <w:rsid w:val="00DF4166"/>
    <w:rsid w:val="00DF48E2"/>
    <w:rsid w:val="00E00097"/>
    <w:rsid w:val="00E01CC4"/>
    <w:rsid w:val="00E02974"/>
    <w:rsid w:val="00E03D68"/>
    <w:rsid w:val="00E058A9"/>
    <w:rsid w:val="00E12906"/>
    <w:rsid w:val="00E16D08"/>
    <w:rsid w:val="00E17B32"/>
    <w:rsid w:val="00E2146B"/>
    <w:rsid w:val="00E21C10"/>
    <w:rsid w:val="00E2275C"/>
    <w:rsid w:val="00E26618"/>
    <w:rsid w:val="00E315EA"/>
    <w:rsid w:val="00E31B11"/>
    <w:rsid w:val="00E34C72"/>
    <w:rsid w:val="00E35E9C"/>
    <w:rsid w:val="00E36E18"/>
    <w:rsid w:val="00E46BC6"/>
    <w:rsid w:val="00E476B4"/>
    <w:rsid w:val="00E47FF9"/>
    <w:rsid w:val="00E505AC"/>
    <w:rsid w:val="00E50ED3"/>
    <w:rsid w:val="00E51EB2"/>
    <w:rsid w:val="00E5271E"/>
    <w:rsid w:val="00E54A4A"/>
    <w:rsid w:val="00E56242"/>
    <w:rsid w:val="00E62233"/>
    <w:rsid w:val="00E62287"/>
    <w:rsid w:val="00E623C1"/>
    <w:rsid w:val="00E6358F"/>
    <w:rsid w:val="00E64E6E"/>
    <w:rsid w:val="00E67D0E"/>
    <w:rsid w:val="00E731A0"/>
    <w:rsid w:val="00E76E59"/>
    <w:rsid w:val="00E776C4"/>
    <w:rsid w:val="00E822B3"/>
    <w:rsid w:val="00E84A44"/>
    <w:rsid w:val="00E86EC6"/>
    <w:rsid w:val="00E86F89"/>
    <w:rsid w:val="00E93C1B"/>
    <w:rsid w:val="00E95005"/>
    <w:rsid w:val="00E9641B"/>
    <w:rsid w:val="00E97EB0"/>
    <w:rsid w:val="00EA016D"/>
    <w:rsid w:val="00EA0BD8"/>
    <w:rsid w:val="00EA1B8B"/>
    <w:rsid w:val="00EA1E93"/>
    <w:rsid w:val="00EA2B29"/>
    <w:rsid w:val="00EA46BF"/>
    <w:rsid w:val="00EB0B49"/>
    <w:rsid w:val="00EB20F6"/>
    <w:rsid w:val="00EB7817"/>
    <w:rsid w:val="00EC2DFC"/>
    <w:rsid w:val="00EC37AD"/>
    <w:rsid w:val="00EC3AB5"/>
    <w:rsid w:val="00EC5769"/>
    <w:rsid w:val="00EC72BA"/>
    <w:rsid w:val="00EC7A98"/>
    <w:rsid w:val="00ED103D"/>
    <w:rsid w:val="00ED1BA9"/>
    <w:rsid w:val="00ED27AC"/>
    <w:rsid w:val="00ED5BF5"/>
    <w:rsid w:val="00ED7794"/>
    <w:rsid w:val="00ED7F40"/>
    <w:rsid w:val="00EE025C"/>
    <w:rsid w:val="00EE0CF1"/>
    <w:rsid w:val="00EE212A"/>
    <w:rsid w:val="00EE231D"/>
    <w:rsid w:val="00EE30F2"/>
    <w:rsid w:val="00EE3994"/>
    <w:rsid w:val="00EE68DA"/>
    <w:rsid w:val="00EF189D"/>
    <w:rsid w:val="00EF1BD5"/>
    <w:rsid w:val="00EF1C2A"/>
    <w:rsid w:val="00EF593F"/>
    <w:rsid w:val="00EF66A8"/>
    <w:rsid w:val="00EF6E3E"/>
    <w:rsid w:val="00EF7058"/>
    <w:rsid w:val="00F024C8"/>
    <w:rsid w:val="00F033B8"/>
    <w:rsid w:val="00F05847"/>
    <w:rsid w:val="00F05EA8"/>
    <w:rsid w:val="00F118A7"/>
    <w:rsid w:val="00F1403D"/>
    <w:rsid w:val="00F15CAC"/>
    <w:rsid w:val="00F2157A"/>
    <w:rsid w:val="00F2394D"/>
    <w:rsid w:val="00F245B4"/>
    <w:rsid w:val="00F2468B"/>
    <w:rsid w:val="00F24CA2"/>
    <w:rsid w:val="00F24E3E"/>
    <w:rsid w:val="00F30590"/>
    <w:rsid w:val="00F31DA7"/>
    <w:rsid w:val="00F328CD"/>
    <w:rsid w:val="00F3338E"/>
    <w:rsid w:val="00F33644"/>
    <w:rsid w:val="00F34CDA"/>
    <w:rsid w:val="00F34FDE"/>
    <w:rsid w:val="00F35372"/>
    <w:rsid w:val="00F36395"/>
    <w:rsid w:val="00F36FCD"/>
    <w:rsid w:val="00F41977"/>
    <w:rsid w:val="00F433C9"/>
    <w:rsid w:val="00F45586"/>
    <w:rsid w:val="00F5076B"/>
    <w:rsid w:val="00F53BC0"/>
    <w:rsid w:val="00F5504A"/>
    <w:rsid w:val="00F5651E"/>
    <w:rsid w:val="00F60D5C"/>
    <w:rsid w:val="00F6141B"/>
    <w:rsid w:val="00F618CD"/>
    <w:rsid w:val="00F61D56"/>
    <w:rsid w:val="00F66BA5"/>
    <w:rsid w:val="00F747BD"/>
    <w:rsid w:val="00F752D9"/>
    <w:rsid w:val="00F7583E"/>
    <w:rsid w:val="00F763D3"/>
    <w:rsid w:val="00F77125"/>
    <w:rsid w:val="00F7745F"/>
    <w:rsid w:val="00F817D0"/>
    <w:rsid w:val="00F81FBD"/>
    <w:rsid w:val="00F86C3A"/>
    <w:rsid w:val="00F87EB0"/>
    <w:rsid w:val="00F90121"/>
    <w:rsid w:val="00F91800"/>
    <w:rsid w:val="00F91B04"/>
    <w:rsid w:val="00F92961"/>
    <w:rsid w:val="00F96C9F"/>
    <w:rsid w:val="00FA0591"/>
    <w:rsid w:val="00FA0833"/>
    <w:rsid w:val="00FA0FC5"/>
    <w:rsid w:val="00FA1712"/>
    <w:rsid w:val="00FA179E"/>
    <w:rsid w:val="00FA33DA"/>
    <w:rsid w:val="00FA5AD6"/>
    <w:rsid w:val="00FA7069"/>
    <w:rsid w:val="00FA70CB"/>
    <w:rsid w:val="00FA7A57"/>
    <w:rsid w:val="00FA7EE2"/>
    <w:rsid w:val="00FB15B8"/>
    <w:rsid w:val="00FB480C"/>
    <w:rsid w:val="00FB6B87"/>
    <w:rsid w:val="00FC4291"/>
    <w:rsid w:val="00FC6710"/>
    <w:rsid w:val="00FC6AB4"/>
    <w:rsid w:val="00FC7507"/>
    <w:rsid w:val="00FC792C"/>
    <w:rsid w:val="00FC79FB"/>
    <w:rsid w:val="00FD005B"/>
    <w:rsid w:val="00FD018C"/>
    <w:rsid w:val="00FD18BF"/>
    <w:rsid w:val="00FD1BB5"/>
    <w:rsid w:val="00FD213B"/>
    <w:rsid w:val="00FD3B1E"/>
    <w:rsid w:val="00FD3DA3"/>
    <w:rsid w:val="00FD3E32"/>
    <w:rsid w:val="00FD455A"/>
    <w:rsid w:val="00FD792A"/>
    <w:rsid w:val="00FE3150"/>
    <w:rsid w:val="00FE5A47"/>
    <w:rsid w:val="00FF0132"/>
    <w:rsid w:val="00FF0135"/>
    <w:rsid w:val="00FF0598"/>
    <w:rsid w:val="00FF3D09"/>
    <w:rsid w:val="4D5A9D24"/>
    <w:rsid w:val="76E653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04B0"/>
  <w15:chartTrackingRefBased/>
  <w15:docId w15:val="{6233F1D5-9577-41A6-8279-FCEF81FB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FC6710"/>
    <w:rPr>
      <w:rFonts w:eastAsiaTheme="minorHAnsi"/>
      <w:kern w:val="2"/>
      <w:lang w:eastAsia="en-US"/>
      <w14:ligatures w14:val="standardContextual"/>
    </w:rPr>
  </w:style>
  <w:style w:type="paragraph" w:styleId="Heading1">
    <w:name w:val="heading 1"/>
    <w:aliases w:val="Heading1 Numbered"/>
    <w:next w:val="BodyText"/>
    <w:link w:val="Heading1Char"/>
    <w:uiPriority w:val="9"/>
    <w:qFormat/>
    <w:rsid w:val="001D7397"/>
    <w:pPr>
      <w:keepNext/>
      <w:keepLines/>
      <w:suppressAutoHyphens/>
      <w:spacing w:after="0" w:line="240" w:lineRule="auto"/>
      <w:outlineLvl w:val="0"/>
    </w:pPr>
    <w:rPr>
      <w:color w:val="22272B" w:themeColor="text1"/>
      <w:sz w:val="36"/>
    </w:rPr>
  </w:style>
  <w:style w:type="paragraph" w:styleId="Heading2">
    <w:name w:val="heading 2"/>
    <w:aliases w:val="Heading2 Numbered"/>
    <w:next w:val="BodyText"/>
    <w:link w:val="Heading2Char"/>
    <w:uiPriority w:val="9"/>
    <w:qFormat/>
    <w:rsid w:val="00CE726C"/>
    <w:pPr>
      <w:keepNext/>
      <w:keepLines/>
      <w:numPr>
        <w:numId w:val="13"/>
      </w:numPr>
      <w:pBdr>
        <w:top w:val="single" w:sz="4" w:space="8" w:color="22272B" w:themeColor="text1"/>
      </w:pBdr>
      <w:suppressAutoHyphens/>
      <w:spacing w:before="240" w:after="240" w:line="240" w:lineRule="auto"/>
      <w:outlineLvl w:val="1"/>
    </w:pPr>
    <w:rPr>
      <w:rFonts w:ascii="Arial" w:hAnsi="Arial" w:cs="Arial"/>
      <w:color w:val="22272B" w:themeColor="text1"/>
      <w:sz w:val="28"/>
    </w:rPr>
  </w:style>
  <w:style w:type="paragraph" w:styleId="Heading3">
    <w:name w:val="heading 3"/>
    <w:aliases w:val="Heading3 Numbered"/>
    <w:next w:val="BodyText"/>
    <w:link w:val="Heading3Char"/>
    <w:uiPriority w:val="9"/>
    <w:qFormat/>
    <w:rsid w:val="00FC6710"/>
    <w:pPr>
      <w:keepNext/>
      <w:keepLines/>
      <w:suppressAutoHyphens/>
      <w:spacing w:before="240" w:after="120" w:line="240" w:lineRule="auto"/>
      <w:outlineLvl w:val="2"/>
    </w:pPr>
    <w:rPr>
      <w:rFonts w:asciiTheme="majorHAnsi" w:hAnsiTheme="majorHAnsi"/>
      <w:color w:val="22272B" w:themeColor="text1"/>
    </w:rPr>
  </w:style>
  <w:style w:type="paragraph" w:styleId="Heading4">
    <w:name w:val="heading 4"/>
    <w:aliases w:val="Heading4 Numbered"/>
    <w:next w:val="BodyText"/>
    <w:link w:val="Heading4Char"/>
    <w:uiPriority w:val="9"/>
    <w:qFormat/>
    <w:rsid w:val="001D7397"/>
    <w:pPr>
      <w:keepNext/>
      <w:keepLines/>
      <w:suppressAutoHyphens/>
      <w:spacing w:before="120" w:after="120" w:line="240" w:lineRule="auto"/>
      <w:outlineLvl w:val="3"/>
    </w:pPr>
    <w:rPr>
      <w:rFonts w:asciiTheme="majorHAnsi" w:eastAsiaTheme="majorEastAsia" w:hAnsiTheme="majorHAnsi" w:cstheme="majorBidi"/>
      <w:iCs/>
      <w:color w:val="002664" w:themeColor="accent1"/>
    </w:rPr>
  </w:style>
  <w:style w:type="paragraph" w:styleId="Heading5">
    <w:name w:val="heading 5"/>
    <w:aliases w:val="Heading5 Numbered"/>
    <w:next w:val="BodyText"/>
    <w:link w:val="Heading5Char"/>
    <w:uiPriority w:val="9"/>
    <w:qFormat/>
    <w:rsid w:val="001D7397"/>
    <w:pPr>
      <w:keepNext/>
      <w:keepLines/>
      <w:suppressAutoHyphens/>
      <w:spacing w:before="120" w:after="120" w:line="240" w:lineRule="auto"/>
      <w:outlineLvl w:val="4"/>
    </w:pPr>
    <w:rPr>
      <w:rFonts w:asciiTheme="majorHAnsi" w:eastAsiaTheme="majorEastAsia" w:hAnsiTheme="majorHAnsi" w:cstheme="majorBidi"/>
      <w:color w:val="146CFD" w:themeColor="accent3"/>
    </w:rPr>
  </w:style>
  <w:style w:type="paragraph" w:styleId="Heading6">
    <w:name w:val="heading 6"/>
    <w:next w:val="BodyText"/>
    <w:link w:val="Heading6Char"/>
    <w:uiPriority w:val="9"/>
    <w:semiHidden/>
    <w:rsid w:val="00E62233"/>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E62233"/>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E62233"/>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rsid w:val="00E62233"/>
    <w:pPr>
      <w:spacing w:after="100"/>
    </w:pPr>
  </w:style>
  <w:style w:type="paragraph" w:styleId="TOC2">
    <w:name w:val="toc 2"/>
    <w:basedOn w:val="Normal"/>
    <w:next w:val="Normal"/>
    <w:uiPriority w:val="39"/>
    <w:rsid w:val="009B382A"/>
    <w:pPr>
      <w:tabs>
        <w:tab w:val="left" w:pos="660"/>
        <w:tab w:val="right" w:leader="dot" w:pos="10194"/>
      </w:tabs>
      <w:spacing w:after="100"/>
      <w:ind w:left="220"/>
    </w:pPr>
    <w:rPr>
      <w:noProof/>
    </w:rPr>
  </w:style>
  <w:style w:type="paragraph" w:styleId="TOC3">
    <w:name w:val="toc 3"/>
    <w:basedOn w:val="Normal"/>
    <w:next w:val="Normal"/>
    <w:uiPriority w:val="39"/>
    <w:semiHidden/>
    <w:rsid w:val="00E62233"/>
    <w:pPr>
      <w:spacing w:after="100"/>
      <w:ind w:left="440"/>
    </w:pPr>
  </w:style>
  <w:style w:type="paragraph" w:styleId="TOC4">
    <w:name w:val="toc 4"/>
    <w:basedOn w:val="Normal"/>
    <w:next w:val="Normal"/>
    <w:uiPriority w:val="39"/>
    <w:semiHidden/>
    <w:rsid w:val="00E62233"/>
    <w:pPr>
      <w:spacing w:after="100"/>
      <w:ind w:left="660"/>
    </w:pPr>
  </w:style>
  <w:style w:type="paragraph" w:styleId="TOC5">
    <w:name w:val="toc 5"/>
    <w:basedOn w:val="Normal"/>
    <w:next w:val="Normal"/>
    <w:uiPriority w:val="39"/>
    <w:semiHidden/>
    <w:rsid w:val="00E62233"/>
    <w:pPr>
      <w:spacing w:after="100"/>
      <w:ind w:left="880"/>
    </w:pPr>
  </w:style>
  <w:style w:type="paragraph" w:styleId="TOC6">
    <w:name w:val="toc 6"/>
    <w:basedOn w:val="Normal"/>
    <w:next w:val="Normal"/>
    <w:uiPriority w:val="39"/>
    <w:semiHidden/>
    <w:rsid w:val="00E62233"/>
    <w:pPr>
      <w:spacing w:after="100"/>
      <w:ind w:left="1100"/>
    </w:pPr>
  </w:style>
  <w:style w:type="paragraph" w:styleId="TOC7">
    <w:name w:val="toc 7"/>
    <w:basedOn w:val="Normal"/>
    <w:next w:val="Normal"/>
    <w:uiPriority w:val="39"/>
    <w:semiHidden/>
    <w:rsid w:val="00E62233"/>
    <w:pPr>
      <w:spacing w:after="100"/>
      <w:ind w:left="1320"/>
    </w:pPr>
  </w:style>
  <w:style w:type="paragraph" w:styleId="TOC8">
    <w:name w:val="toc 8"/>
    <w:basedOn w:val="Normal"/>
    <w:next w:val="Normal"/>
    <w:uiPriority w:val="39"/>
    <w:semiHidden/>
    <w:rsid w:val="00E62233"/>
    <w:pPr>
      <w:spacing w:after="100"/>
      <w:ind w:left="1540"/>
    </w:pPr>
  </w:style>
  <w:style w:type="paragraph" w:styleId="TOC9">
    <w:name w:val="toc 9"/>
    <w:basedOn w:val="Normal"/>
    <w:next w:val="Normal"/>
    <w:uiPriority w:val="39"/>
    <w:semiHidden/>
    <w:rsid w:val="00E62233"/>
    <w:pPr>
      <w:spacing w:after="100"/>
      <w:ind w:left="1760"/>
    </w:pPr>
  </w:style>
  <w:style w:type="character" w:customStyle="1" w:styleId="Heading1Char">
    <w:name w:val="Heading 1 Char"/>
    <w:aliases w:val="Heading1 Numbered Char"/>
    <w:basedOn w:val="DefaultParagraphFont"/>
    <w:link w:val="Heading1"/>
    <w:uiPriority w:val="9"/>
    <w:rsid w:val="001D7397"/>
    <w:rPr>
      <w:color w:val="22272B" w:themeColor="text1"/>
      <w:sz w:val="36"/>
    </w:rPr>
  </w:style>
  <w:style w:type="paragraph" w:styleId="TOCHeading">
    <w:name w:val="TOC Heading"/>
    <w:basedOn w:val="Heading1"/>
    <w:next w:val="Normal"/>
    <w:uiPriority w:val="39"/>
    <w:semiHidden/>
    <w:rsid w:val="00E62233"/>
    <w:pPr>
      <w:outlineLvl w:val="9"/>
    </w:pPr>
  </w:style>
  <w:style w:type="paragraph" w:styleId="Index1">
    <w:name w:val="index 1"/>
    <w:basedOn w:val="Normal"/>
    <w:next w:val="Normal"/>
    <w:uiPriority w:val="99"/>
    <w:semiHidden/>
    <w:rsid w:val="00E62233"/>
    <w:pPr>
      <w:ind w:left="220" w:hanging="220"/>
    </w:pPr>
  </w:style>
  <w:style w:type="paragraph" w:styleId="Index2">
    <w:name w:val="index 2"/>
    <w:basedOn w:val="Normal"/>
    <w:next w:val="Normal"/>
    <w:uiPriority w:val="99"/>
    <w:semiHidden/>
    <w:rsid w:val="00E62233"/>
    <w:pPr>
      <w:ind w:left="440" w:hanging="220"/>
    </w:pPr>
  </w:style>
  <w:style w:type="paragraph" w:styleId="Index3">
    <w:name w:val="index 3"/>
    <w:basedOn w:val="Normal"/>
    <w:next w:val="Normal"/>
    <w:uiPriority w:val="99"/>
    <w:semiHidden/>
    <w:rsid w:val="00E62233"/>
    <w:pPr>
      <w:ind w:left="660" w:hanging="220"/>
    </w:pPr>
  </w:style>
  <w:style w:type="paragraph" w:styleId="Index4">
    <w:name w:val="index 4"/>
    <w:basedOn w:val="Normal"/>
    <w:next w:val="Normal"/>
    <w:uiPriority w:val="99"/>
    <w:semiHidden/>
    <w:rsid w:val="00E62233"/>
    <w:pPr>
      <w:ind w:left="880" w:hanging="220"/>
    </w:pPr>
  </w:style>
  <w:style w:type="paragraph" w:styleId="Index5">
    <w:name w:val="index 5"/>
    <w:basedOn w:val="Normal"/>
    <w:next w:val="Normal"/>
    <w:uiPriority w:val="99"/>
    <w:semiHidden/>
    <w:rsid w:val="00E62233"/>
    <w:pPr>
      <w:ind w:left="1100" w:hanging="220"/>
    </w:pPr>
  </w:style>
  <w:style w:type="paragraph" w:styleId="Index6">
    <w:name w:val="index 6"/>
    <w:basedOn w:val="Normal"/>
    <w:next w:val="Normal"/>
    <w:uiPriority w:val="99"/>
    <w:semiHidden/>
    <w:rsid w:val="00E62233"/>
    <w:pPr>
      <w:ind w:left="1320" w:hanging="220"/>
    </w:pPr>
  </w:style>
  <w:style w:type="paragraph" w:styleId="Index7">
    <w:name w:val="index 7"/>
    <w:basedOn w:val="Normal"/>
    <w:next w:val="Normal"/>
    <w:uiPriority w:val="99"/>
    <w:semiHidden/>
    <w:rsid w:val="00E62233"/>
    <w:pPr>
      <w:ind w:left="1540" w:hanging="220"/>
    </w:pPr>
  </w:style>
  <w:style w:type="paragraph" w:styleId="Index8">
    <w:name w:val="index 8"/>
    <w:basedOn w:val="Normal"/>
    <w:next w:val="Normal"/>
    <w:uiPriority w:val="99"/>
    <w:semiHidden/>
    <w:rsid w:val="00E62233"/>
    <w:pPr>
      <w:ind w:left="1760" w:hanging="220"/>
    </w:pPr>
  </w:style>
  <w:style w:type="paragraph" w:styleId="Index9">
    <w:name w:val="index 9"/>
    <w:basedOn w:val="Normal"/>
    <w:next w:val="Normal"/>
    <w:uiPriority w:val="99"/>
    <w:semiHidden/>
    <w:rsid w:val="00E62233"/>
    <w:pPr>
      <w:ind w:left="1980" w:hanging="220"/>
    </w:pPr>
  </w:style>
  <w:style w:type="paragraph" w:styleId="Header">
    <w:name w:val="header"/>
    <w:link w:val="HeaderChar"/>
    <w:uiPriority w:val="99"/>
    <w:rsid w:val="00675B76"/>
    <w:pPr>
      <w:suppressAutoHyphens/>
      <w:spacing w:after="240" w:line="240" w:lineRule="auto"/>
    </w:pPr>
    <w:rPr>
      <w:color w:val="146CFD" w:themeColor="accent3"/>
      <w:sz w:val="18"/>
    </w:rPr>
  </w:style>
  <w:style w:type="character" w:customStyle="1" w:styleId="HeaderChar">
    <w:name w:val="Header Char"/>
    <w:basedOn w:val="DefaultParagraphFont"/>
    <w:link w:val="Header"/>
    <w:uiPriority w:val="99"/>
    <w:rsid w:val="00675B76"/>
    <w:rPr>
      <w:color w:val="146CFD" w:themeColor="accent3"/>
      <w:sz w:val="18"/>
    </w:rPr>
  </w:style>
  <w:style w:type="paragraph" w:styleId="Footer">
    <w:name w:val="footer"/>
    <w:link w:val="FooterChar"/>
    <w:uiPriority w:val="99"/>
    <w:rsid w:val="00E62233"/>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C44E6C"/>
    <w:rPr>
      <w:color w:val="22272B" w:themeColor="text1"/>
      <w:sz w:val="18"/>
    </w:rPr>
  </w:style>
  <w:style w:type="character" w:styleId="PlaceholderText">
    <w:name w:val="Placeholder Text"/>
    <w:basedOn w:val="DefaultParagraphFont"/>
    <w:uiPriority w:val="99"/>
    <w:semiHidden/>
    <w:rsid w:val="00E62233"/>
    <w:rPr>
      <w:color w:val="808080"/>
    </w:rPr>
  </w:style>
  <w:style w:type="paragraph" w:customStyle="1" w:styleId="DocumentType">
    <w:name w:val="Document Type"/>
    <w:next w:val="Heading1"/>
    <w:uiPriority w:val="2"/>
    <w:qFormat/>
    <w:rsid w:val="002B7ECB"/>
    <w:pPr>
      <w:suppressAutoHyphens/>
      <w:spacing w:after="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19"/>
    <w:qFormat/>
    <w:rsid w:val="00E62233"/>
    <w:rPr>
      <w:i/>
      <w:iCs/>
    </w:rPr>
  </w:style>
  <w:style w:type="character" w:styleId="Strong">
    <w:name w:val="Strong"/>
    <w:aliases w:val="Bold"/>
    <w:basedOn w:val="DefaultParagraphFont"/>
    <w:uiPriority w:val="22"/>
    <w:qFormat/>
    <w:rsid w:val="00E62233"/>
    <w:rPr>
      <w:b/>
      <w:bCs/>
    </w:rPr>
  </w:style>
  <w:style w:type="paragraph" w:styleId="ListBullet">
    <w:name w:val="List Bullet"/>
    <w:uiPriority w:val="10"/>
    <w:qFormat/>
    <w:rsid w:val="00CA6491"/>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1F422F"/>
    <w:pPr>
      <w:numPr>
        <w:numId w:val="6"/>
      </w:numPr>
      <w:suppressAutoHyphens/>
      <w:spacing w:before="120" w:after="120" w:line="240" w:lineRule="auto"/>
    </w:pPr>
    <w:rPr>
      <w:color w:val="22272B" w:themeColor="text1"/>
    </w:rPr>
  </w:style>
  <w:style w:type="paragraph" w:styleId="FootnoteText">
    <w:name w:val="footnote text"/>
    <w:link w:val="FootnoteTextChar"/>
    <w:uiPriority w:val="99"/>
    <w:semiHidden/>
    <w:rsid w:val="00E62233"/>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E62233"/>
    <w:rPr>
      <w:color w:val="22272B" w:themeColor="text1"/>
      <w:sz w:val="20"/>
      <w:szCs w:val="20"/>
    </w:rPr>
  </w:style>
  <w:style w:type="character" w:styleId="FootnoteReference">
    <w:name w:val="footnote reference"/>
    <w:basedOn w:val="DefaultParagraphFont"/>
    <w:uiPriority w:val="99"/>
    <w:semiHidden/>
    <w:rsid w:val="00E62233"/>
    <w:rPr>
      <w:vertAlign w:val="superscript"/>
    </w:rPr>
  </w:style>
  <w:style w:type="paragraph" w:styleId="BodyText">
    <w:name w:val="Body Text"/>
    <w:link w:val="BodyTextChar"/>
    <w:qFormat/>
    <w:rsid w:val="003E1C0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3E1C01"/>
    <w:rPr>
      <w:color w:val="22272B" w:themeColor="text1"/>
    </w:rPr>
  </w:style>
  <w:style w:type="character" w:customStyle="1" w:styleId="Heading2Char">
    <w:name w:val="Heading 2 Char"/>
    <w:aliases w:val="Heading2 Numbered Char"/>
    <w:basedOn w:val="DefaultParagraphFont"/>
    <w:link w:val="Heading2"/>
    <w:uiPriority w:val="9"/>
    <w:rsid w:val="00CE726C"/>
    <w:rPr>
      <w:rFonts w:ascii="Arial" w:hAnsi="Arial" w:cs="Arial"/>
      <w:color w:val="22272B" w:themeColor="text1"/>
      <w:sz w:val="28"/>
    </w:rPr>
  </w:style>
  <w:style w:type="character" w:customStyle="1" w:styleId="Heading3Char">
    <w:name w:val="Heading 3 Char"/>
    <w:aliases w:val="Heading3 Numbered Char"/>
    <w:basedOn w:val="DefaultParagraphFont"/>
    <w:link w:val="Heading3"/>
    <w:uiPriority w:val="9"/>
    <w:rsid w:val="00FC6710"/>
    <w:rPr>
      <w:rFonts w:asciiTheme="majorHAnsi" w:hAnsiTheme="majorHAnsi"/>
      <w:color w:val="22272B" w:themeColor="text1"/>
    </w:rPr>
  </w:style>
  <w:style w:type="character" w:customStyle="1" w:styleId="Heading4Char">
    <w:name w:val="Heading 4 Char"/>
    <w:aliases w:val="Heading4 Numbered Char"/>
    <w:basedOn w:val="DefaultParagraphFont"/>
    <w:link w:val="Heading4"/>
    <w:uiPriority w:val="9"/>
    <w:rsid w:val="001D7397"/>
    <w:rPr>
      <w:rFonts w:asciiTheme="majorHAnsi" w:eastAsiaTheme="majorEastAsia" w:hAnsiTheme="majorHAnsi" w:cstheme="majorBidi"/>
      <w:iCs/>
      <w:color w:val="002664" w:themeColor="accent1"/>
    </w:rPr>
  </w:style>
  <w:style w:type="character" w:customStyle="1" w:styleId="Heading5Char">
    <w:name w:val="Heading 5 Char"/>
    <w:aliases w:val="Heading5 Numbered Char"/>
    <w:basedOn w:val="DefaultParagraphFont"/>
    <w:link w:val="Heading5"/>
    <w:uiPriority w:val="9"/>
    <w:rsid w:val="001D7397"/>
    <w:rPr>
      <w:rFonts w:asciiTheme="majorHAnsi" w:eastAsiaTheme="majorEastAsia" w:hAnsiTheme="majorHAnsi" w:cstheme="majorBidi"/>
      <w:color w:val="146CFD" w:themeColor="accent3"/>
    </w:rPr>
  </w:style>
  <w:style w:type="character" w:customStyle="1" w:styleId="Heading6Char">
    <w:name w:val="Heading 6 Char"/>
    <w:basedOn w:val="DefaultParagraphFont"/>
    <w:link w:val="Heading6"/>
    <w:uiPriority w:val="9"/>
    <w:semiHidden/>
    <w:rsid w:val="00E62233"/>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E62233"/>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E62233"/>
    <w:rPr>
      <w:color w:val="22272B" w:themeColor="text1"/>
      <w:u w:val="single"/>
    </w:rPr>
  </w:style>
  <w:style w:type="paragraph" w:styleId="ListBullet2">
    <w:name w:val="List Bullet 2"/>
    <w:uiPriority w:val="10"/>
    <w:qFormat/>
    <w:rsid w:val="00E62233"/>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E62233"/>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E62233"/>
  </w:style>
  <w:style w:type="paragraph" w:styleId="ListNumber3">
    <w:name w:val="List Number 3"/>
    <w:uiPriority w:val="10"/>
    <w:qFormat/>
    <w:rsid w:val="00CA6491"/>
    <w:pPr>
      <w:numPr>
        <w:numId w:val="4"/>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E62233"/>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TitleTintBox">
    <w:name w:val="Title Tint Box"/>
    <w:next w:val="BodyText"/>
    <w:uiPriority w:val="2"/>
    <w:qFormat/>
    <w:rsid w:val="00E731A0"/>
    <w:pPr>
      <w:spacing w:after="240" w:line="240" w:lineRule="auto"/>
      <w:ind w:left="-851" w:right="-851"/>
    </w:pPr>
    <w:rPr>
      <w:color w:val="22272B" w:themeColor="text1"/>
      <w:sz w:val="36"/>
    </w:rPr>
  </w:style>
  <w:style w:type="table" w:styleId="TableGridLight">
    <w:name w:val="Grid Table Light"/>
    <w:basedOn w:val="TableNormal"/>
    <w:uiPriority w:val="40"/>
    <w:rsid w:val="00E62233"/>
    <w:pPr>
      <w:spacing w:after="0" w:line="240" w:lineRule="auto"/>
    </w:pPr>
    <w:tblPr>
      <w:tblCellMar>
        <w:top w:w="113" w:type="dxa"/>
        <w:left w:w="0" w:type="dxa"/>
        <w:bottom w:w="57" w:type="dxa"/>
        <w:right w:w="57" w:type="dxa"/>
      </w:tblCellMar>
    </w:tblPr>
    <w:tblStylePr w:type="firstRow">
      <w:tblPr/>
      <w:trPr>
        <w:tblHeader/>
      </w:trPr>
    </w:tblStylePr>
  </w:style>
  <w:style w:type="character" w:styleId="CommentReference">
    <w:name w:val="annotation reference"/>
    <w:basedOn w:val="DefaultParagraphFont"/>
    <w:uiPriority w:val="99"/>
    <w:semiHidden/>
    <w:rsid w:val="00E62233"/>
    <w:rPr>
      <w:sz w:val="16"/>
      <w:szCs w:val="16"/>
    </w:rPr>
  </w:style>
  <w:style w:type="paragraph" w:styleId="CommentText">
    <w:name w:val="annotation text"/>
    <w:basedOn w:val="Normal"/>
    <w:link w:val="CommentTextChar"/>
    <w:uiPriority w:val="99"/>
    <w:semiHidden/>
    <w:rsid w:val="00E62233"/>
  </w:style>
  <w:style w:type="character" w:customStyle="1" w:styleId="CommentTextChar">
    <w:name w:val="Comment Text Char"/>
    <w:basedOn w:val="DefaultParagraphFont"/>
    <w:link w:val="CommentText"/>
    <w:uiPriority w:val="99"/>
    <w:semiHidden/>
    <w:rsid w:val="00E62233"/>
    <w:rPr>
      <w:color w:val="22272B" w:themeColor="text1"/>
      <w:sz w:val="20"/>
      <w:szCs w:val="20"/>
    </w:rPr>
  </w:style>
  <w:style w:type="paragraph" w:styleId="CommentSubject">
    <w:name w:val="annotation subject"/>
    <w:basedOn w:val="CommentText"/>
    <w:next w:val="CommentText"/>
    <w:link w:val="CommentSubjectChar"/>
    <w:uiPriority w:val="99"/>
    <w:semiHidden/>
    <w:rsid w:val="00E62233"/>
    <w:rPr>
      <w:b/>
      <w:bCs/>
    </w:rPr>
  </w:style>
  <w:style w:type="character" w:customStyle="1" w:styleId="CommentSubjectChar">
    <w:name w:val="Comment Subject Char"/>
    <w:basedOn w:val="CommentTextChar"/>
    <w:link w:val="CommentSubject"/>
    <w:uiPriority w:val="99"/>
    <w:semiHidden/>
    <w:rsid w:val="00E62233"/>
    <w:rPr>
      <w:b/>
      <w:bCs/>
      <w:color w:val="22272B" w:themeColor="text1"/>
      <w:sz w:val="20"/>
      <w:szCs w:val="20"/>
    </w:rPr>
  </w:style>
  <w:style w:type="paragraph" w:styleId="BalloonText">
    <w:name w:val="Balloon Text"/>
    <w:basedOn w:val="Normal"/>
    <w:link w:val="BalloonTextChar"/>
    <w:uiPriority w:val="99"/>
    <w:semiHidden/>
    <w:rsid w:val="00E62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233"/>
    <w:rPr>
      <w:rFonts w:ascii="Segoe UI" w:hAnsi="Segoe UI" w:cs="Segoe UI"/>
      <w:color w:val="22272B" w:themeColor="text1"/>
      <w:sz w:val="18"/>
      <w:szCs w:val="18"/>
    </w:rPr>
  </w:style>
  <w:style w:type="paragraph" w:customStyle="1" w:styleId="ReleasedDate">
    <w:name w:val="Released Date"/>
    <w:uiPriority w:val="3"/>
    <w:qFormat/>
    <w:rsid w:val="00E62233"/>
    <w:pPr>
      <w:suppressAutoHyphens/>
      <w:spacing w:before="360" w:after="360" w:line="240" w:lineRule="auto"/>
      <w:contextualSpacing/>
    </w:pPr>
    <w:rPr>
      <w:rFonts w:asciiTheme="majorHAnsi" w:hAnsiTheme="majorHAnsi"/>
      <w:color w:val="22272B" w:themeColor="text1"/>
    </w:rPr>
  </w:style>
  <w:style w:type="paragraph" w:customStyle="1" w:styleId="BodyTextwithTab">
    <w:name w:val="Body Text with Tab"/>
    <w:qFormat/>
    <w:rsid w:val="002B7ECB"/>
    <w:pPr>
      <w:tabs>
        <w:tab w:val="left" w:pos="2552"/>
      </w:tabs>
      <w:suppressAutoHyphens/>
      <w:spacing w:before="120" w:after="120" w:line="240" w:lineRule="auto"/>
      <w:ind w:left="2552" w:hanging="2552"/>
    </w:pPr>
    <w:rPr>
      <w:color w:val="22272B" w:themeColor="text1"/>
    </w:rPr>
  </w:style>
  <w:style w:type="paragraph" w:customStyle="1" w:styleId="DescriptororNameSmall">
    <w:name w:val="Descriptor or Name Small"/>
    <w:next w:val="Normal"/>
    <w:uiPriority w:val="1"/>
    <w:qFormat/>
    <w:rsid w:val="00A010F0"/>
    <w:pPr>
      <w:suppressAutoHyphens/>
      <w:spacing w:after="0" w:line="240" w:lineRule="auto"/>
      <w:contextualSpacing/>
    </w:pPr>
    <w:rPr>
      <w:rFonts w:asciiTheme="majorHAnsi" w:hAnsiTheme="majorHAnsi"/>
      <w:color w:val="22272B" w:themeColor="text1"/>
      <w:sz w:val="23"/>
    </w:rPr>
  </w:style>
  <w:style w:type="paragraph" w:customStyle="1" w:styleId="Footerwhiteline">
    <w:name w:val="Footer white line"/>
    <w:next w:val="Footer"/>
    <w:uiPriority w:val="99"/>
    <w:rsid w:val="00CA6491"/>
    <w:pPr>
      <w:pBdr>
        <w:top w:val="single" w:sz="4" w:space="12" w:color="FFFFFF" w:themeColor="background1"/>
      </w:pBdr>
      <w:suppressAutoHyphens/>
      <w:spacing w:after="120" w:line="240" w:lineRule="auto"/>
    </w:pPr>
    <w:rPr>
      <w:color w:val="22272B" w:themeColor="text1"/>
      <w:sz w:val="18"/>
    </w:rPr>
  </w:style>
  <w:style w:type="character" w:customStyle="1" w:styleId="BoldItalic">
    <w:name w:val="Bold Italic"/>
    <w:basedOn w:val="DefaultParagraphFont"/>
    <w:uiPriority w:val="19"/>
    <w:qFormat/>
    <w:rsid w:val="00A010F0"/>
    <w:rPr>
      <w:b/>
      <w:bCs w:val="0"/>
      <w:i/>
      <w:iCs w:val="0"/>
    </w:rPr>
  </w:style>
  <w:style w:type="table" w:styleId="ListTable3-Accent1">
    <w:name w:val="List Table 3 Accent 1"/>
    <w:basedOn w:val="TableNormal"/>
    <w:uiPriority w:val="48"/>
    <w:rsid w:val="008027D0"/>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rsid w:val="008027D0"/>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blBorders>
    </w:tblPr>
    <w:tblStylePr w:type="firstRow">
      <w:rPr>
        <w:b/>
        <w:bCs/>
        <w:color w:val="FFFFFF" w:themeColor="background1"/>
      </w:rPr>
      <w:tblPr/>
      <w:trPr>
        <w:tblHeader/>
      </w:tr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CBEDFD" w:themeFill="accent2"/>
      </w:tcPr>
    </w:tblStylePr>
    <w:tblStylePr w:type="lastRow">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fir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tcPr>
    </w:tblStylePr>
    <w:tblStylePr w:type="lastCol">
      <w:rPr>
        <w:b w:val="0"/>
        <w:bCs/>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l2br w:val="nil"/>
          <w:tr2bl w:val="nil"/>
        </w:tcBorders>
        <w:shd w:val="clear" w:color="auto" w:fill="FFFFFF" w:themeFill="background1"/>
      </w:tcPr>
    </w:tblStylePr>
    <w:tblStylePr w:type="band1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Vert">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1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band2Horz">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n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e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tblStylePr w:type="swCell">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single" w:sz="4" w:space="0" w:color="8CE0FF" w:themeColor="accent4"/>
          <w:insideV w:val="single" w:sz="4" w:space="0" w:color="8CE0FF" w:themeColor="accent4"/>
        </w:tcBorders>
      </w:tcPr>
    </w:tblStylePr>
  </w:style>
  <w:style w:type="table" w:styleId="ListTable3-Accent3">
    <w:name w:val="List Table 3 Accent 3"/>
    <w:basedOn w:val="TableNormal"/>
    <w:uiPriority w:val="48"/>
    <w:rsid w:val="008027D0"/>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Pr>
    <w:tblStylePr w:type="firstRow">
      <w:rPr>
        <w:b/>
        <w:bCs/>
        <w:color w:val="FFFFFF" w:themeColor="background1"/>
      </w:rPr>
      <w:tblPr/>
      <w:tcPr>
        <w:shd w:val="clear" w:color="auto" w:fill="146CFD" w:themeFill="accent3"/>
      </w:tcPr>
    </w:tblStylePr>
    <w:tblStylePr w:type="lastRow">
      <w:rPr>
        <w:b/>
        <w:bCs/>
      </w:rPr>
      <w:tblPr/>
      <w:tcPr>
        <w:tcBorders>
          <w:top w:val="double" w:sz="4" w:space="0" w:color="146C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3"/>
          <w:right w:val="single" w:sz="4" w:space="0" w:color="146CFD" w:themeColor="accent3"/>
        </w:tcBorders>
      </w:tcPr>
    </w:tblStylePr>
    <w:tblStylePr w:type="band1Horz">
      <w:tblPr/>
      <w:tcPr>
        <w:tcBorders>
          <w:top w:val="single" w:sz="4" w:space="0" w:color="146CFD" w:themeColor="accent3"/>
          <w:bottom w:val="single" w:sz="4" w:space="0" w:color="146C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3"/>
          <w:left w:val="nil"/>
        </w:tcBorders>
      </w:tcPr>
    </w:tblStylePr>
    <w:tblStylePr w:type="swCell">
      <w:tblPr/>
      <w:tcPr>
        <w:tcBorders>
          <w:top w:val="double" w:sz="4" w:space="0" w:color="146CFD" w:themeColor="accent3"/>
          <w:right w:val="nil"/>
        </w:tcBorders>
      </w:tcPr>
    </w:tblStylePr>
  </w:style>
  <w:style w:type="table" w:styleId="ListTable3-Accent4">
    <w:name w:val="List Table 3 Accent 4"/>
    <w:basedOn w:val="TableNormal"/>
    <w:uiPriority w:val="48"/>
    <w:rsid w:val="008027D0"/>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blStylePr w:type="firstRow">
      <w:rPr>
        <w:b/>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8CE0FF"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tcPr>
    </w:tblStylePr>
  </w:style>
  <w:style w:type="table" w:styleId="ListTable3-Accent5">
    <w:name w:val="List Table 3 Accent 5"/>
    <w:basedOn w:val="TableNormal"/>
    <w:uiPriority w:val="48"/>
    <w:rsid w:val="008027D0"/>
    <w:pPr>
      <w:spacing w:after="0" w:line="240" w:lineRule="auto"/>
    </w:p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tblBorders>
    </w:tblPr>
    <w:tblStylePr w:type="firstRow">
      <w:rPr>
        <w:b/>
        <w:bCs/>
        <w:color w:val="FFFFFF" w:themeColor="background1"/>
      </w:rPr>
      <w:tblPr/>
      <w:tcPr>
        <w:shd w:val="clear" w:color="auto" w:fill="495054" w:themeFill="accent5"/>
      </w:tcPr>
    </w:tblStylePr>
    <w:tblStylePr w:type="lastRow">
      <w:rPr>
        <w:b/>
        <w:bCs/>
      </w:rPr>
      <w:tblPr/>
      <w:tcPr>
        <w:tcBorders>
          <w:top w:val="double" w:sz="4" w:space="0" w:color="4950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8027D0"/>
    <w:pPr>
      <w:spacing w:after="0" w:line="240" w:lineRule="auto"/>
    </w:pPr>
    <w:tblPr>
      <w:tblStyleRowBandSize w:val="1"/>
      <w:tblStyleColBandSize w:val="1"/>
      <w:tbl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blBorders>
    </w:tblPr>
    <w:tblStylePr w:type="firstRow">
      <w:rPr>
        <w:b/>
        <w:bCs/>
        <w:color w:val="FFFFFF" w:themeColor="background1"/>
      </w:rPr>
      <w:tblPr/>
      <w:trPr>
        <w:tblHeader/>
      </w:tr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E6EA" w:themeFill="accent6"/>
      </w:tcPr>
    </w:tblStylePr>
    <w:tblStylePr w:type="lastRow">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fir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lastCol">
      <w:rPr>
        <w:b w:val="0"/>
        <w:bCs/>
      </w:rPr>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shd w:val="clear" w:color="auto" w:fill="FFFFFF" w:themeFill="background1"/>
      </w:tcPr>
    </w:tblStylePr>
    <w:tblStylePr w:type="band1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Vert">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1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band2Horz">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n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e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tblStylePr w:type="swCell">
      <w:tblPr/>
      <w:tcPr>
        <w:tcBorders>
          <w:top w:val="single" w:sz="4" w:space="0" w:color="D7153A" w:themeColor="text2"/>
          <w:left w:val="single" w:sz="4" w:space="0" w:color="D7153A" w:themeColor="text2"/>
          <w:bottom w:val="single" w:sz="4" w:space="0" w:color="D7153A" w:themeColor="text2"/>
          <w:right w:val="single" w:sz="4" w:space="0" w:color="D7153A" w:themeColor="text2"/>
          <w:insideH w:val="single" w:sz="4" w:space="0" w:color="D7153A" w:themeColor="text2"/>
          <w:insideV w:val="single" w:sz="4" w:space="0" w:color="D7153A" w:themeColor="text2"/>
        </w:tcBorders>
      </w:tcPr>
    </w:tblStylePr>
  </w:style>
  <w:style w:type="paragraph" w:customStyle="1" w:styleId="BodyTextCentred">
    <w:name w:val="Body Text Centred"/>
    <w:basedOn w:val="BodyText"/>
    <w:uiPriority w:val="4"/>
    <w:qFormat/>
    <w:rsid w:val="00F45586"/>
    <w:pPr>
      <w:tabs>
        <w:tab w:val="clear" w:pos="2552"/>
      </w:tabs>
      <w:jc w:val="center"/>
    </w:pPr>
  </w:style>
  <w:style w:type="paragraph" w:styleId="Caption">
    <w:name w:val="caption"/>
    <w:next w:val="BodyText"/>
    <w:uiPriority w:val="35"/>
    <w:qFormat/>
    <w:rsid w:val="004C79AD"/>
    <w:pPr>
      <w:suppressAutoHyphens/>
      <w:spacing w:before="120" w:after="120" w:line="240" w:lineRule="auto"/>
    </w:pPr>
    <w:rPr>
      <w:iCs/>
      <w:color w:val="002664" w:themeColor="accent1"/>
      <w:sz w:val="18"/>
      <w:szCs w:val="18"/>
    </w:rPr>
  </w:style>
  <w:style w:type="paragraph" w:customStyle="1" w:styleId="BodyText1">
    <w:name w:val="Body Text1"/>
    <w:basedOn w:val="Normal"/>
    <w:qFormat/>
    <w:rsid w:val="00FC6710"/>
    <w:pPr>
      <w:spacing w:before="200" w:after="0" w:line="320" w:lineRule="atLeast"/>
    </w:pPr>
    <w:rPr>
      <w:rFonts w:ascii="Arial" w:eastAsiaTheme="minorEastAsia" w:hAnsi="Arial"/>
      <w:kern w:val="0"/>
      <w:szCs w:val="24"/>
      <w:lang w:eastAsia="ja-JP"/>
      <w14:ligatures w14:val="none"/>
    </w:rPr>
  </w:style>
  <w:style w:type="paragraph" w:customStyle="1" w:styleId="Bulletparagraph">
    <w:name w:val="Bullet paragraph"/>
    <w:basedOn w:val="BodyText1"/>
    <w:qFormat/>
    <w:rsid w:val="00FC6710"/>
    <w:pPr>
      <w:numPr>
        <w:numId w:val="8"/>
      </w:numPr>
    </w:pPr>
    <w:rPr>
      <w:shd w:val="clear" w:color="auto" w:fill="FFFFFF"/>
    </w:rPr>
  </w:style>
  <w:style w:type="paragraph" w:customStyle="1" w:styleId="Bullet2">
    <w:name w:val="Bullet 2"/>
    <w:basedOn w:val="Bulletparagraph"/>
    <w:qFormat/>
    <w:rsid w:val="00FC6710"/>
    <w:pPr>
      <w:numPr>
        <w:ilvl w:val="1"/>
      </w:numPr>
    </w:pPr>
  </w:style>
  <w:style w:type="paragraph" w:customStyle="1" w:styleId="Bodytextnumbered">
    <w:name w:val="Body text numbered"/>
    <w:basedOn w:val="Heading1"/>
    <w:qFormat/>
    <w:rsid w:val="00FC6710"/>
    <w:pPr>
      <w:keepNext w:val="0"/>
      <w:keepLines w:val="0"/>
      <w:numPr>
        <w:numId w:val="7"/>
      </w:numPr>
      <w:tabs>
        <w:tab w:val="num" w:pos="360"/>
      </w:tabs>
      <w:suppressAutoHyphens w:val="0"/>
      <w:spacing w:before="200" w:line="320" w:lineRule="atLeast"/>
      <w:ind w:left="0" w:firstLine="0"/>
    </w:pPr>
    <w:rPr>
      <w:rFonts w:ascii="Arial" w:eastAsia="Times New Roman" w:hAnsi="Arial" w:cs="Times New Roman"/>
      <w:color w:val="auto"/>
      <w:sz w:val="22"/>
      <w:lang w:eastAsia="en-US"/>
    </w:rPr>
  </w:style>
  <w:style w:type="paragraph" w:styleId="Revision">
    <w:name w:val="Revision"/>
    <w:hidden/>
    <w:uiPriority w:val="99"/>
    <w:semiHidden/>
    <w:rsid w:val="00E822B3"/>
    <w:pPr>
      <w:spacing w:after="0" w:line="240" w:lineRule="auto"/>
    </w:pPr>
    <w:rPr>
      <w:rFonts w:eastAsiaTheme="minorHAnsi"/>
      <w:kern w:val="2"/>
      <w:lang w:eastAsia="en-US"/>
      <w14:ligatures w14:val="standardContextual"/>
    </w:rPr>
  </w:style>
  <w:style w:type="character" w:customStyle="1" w:styleId="ui-provider">
    <w:name w:val="ui-provider"/>
    <w:basedOn w:val="DefaultParagraphFont"/>
    <w:rsid w:val="00D70F7A"/>
  </w:style>
  <w:style w:type="character" w:styleId="UnresolvedMention">
    <w:name w:val="Unresolved Mention"/>
    <w:basedOn w:val="DefaultParagraphFont"/>
    <w:uiPriority w:val="99"/>
    <w:semiHidden/>
    <w:unhideWhenUsed/>
    <w:rsid w:val="0051398B"/>
    <w:rPr>
      <w:color w:val="605E5C"/>
      <w:shd w:val="clear" w:color="auto" w:fill="E1DFDD"/>
    </w:rPr>
  </w:style>
  <w:style w:type="character" w:styleId="Mention">
    <w:name w:val="Mention"/>
    <w:basedOn w:val="DefaultParagraphFont"/>
    <w:uiPriority w:val="99"/>
    <w:unhideWhenUsed/>
    <w:rsid w:val="006118E4"/>
    <w:rPr>
      <w:color w:val="2B579A"/>
      <w:shd w:val="clear" w:color="auto" w:fill="E1DFDD"/>
    </w:rPr>
  </w:style>
  <w:style w:type="paragraph" w:styleId="ListParagraph">
    <w:name w:val="List Paragraph"/>
    <w:basedOn w:val="Normal"/>
    <w:link w:val="ListParagraphChar"/>
    <w:uiPriority w:val="34"/>
    <w:qFormat/>
    <w:rsid w:val="00D7343F"/>
    <w:pPr>
      <w:spacing w:after="200" w:line="276" w:lineRule="auto"/>
      <w:ind w:left="720"/>
      <w:contextualSpacing/>
    </w:pPr>
    <w:rPr>
      <w:rFonts w:ascii="Arial" w:hAnsi="Arial"/>
      <w:kern w:val="0"/>
      <w14:ligatures w14:val="none"/>
    </w:rPr>
  </w:style>
  <w:style w:type="character" w:customStyle="1" w:styleId="ListParagraphChar">
    <w:name w:val="List Paragraph Char"/>
    <w:basedOn w:val="DefaultParagraphFont"/>
    <w:link w:val="ListParagraph"/>
    <w:uiPriority w:val="34"/>
    <w:rsid w:val="00D7343F"/>
    <w:rPr>
      <w:rFonts w:ascii="Arial" w:eastAsiaTheme="minorHAnsi" w:hAnsi="Arial"/>
      <w:lang w:eastAsia="en-US"/>
    </w:rPr>
  </w:style>
  <w:style w:type="paragraph" w:customStyle="1" w:styleId="xmsonormal">
    <w:name w:val="x_msonormal"/>
    <w:basedOn w:val="Normal"/>
    <w:rsid w:val="00E62287"/>
    <w:pPr>
      <w:spacing w:after="0" w:line="240" w:lineRule="auto"/>
    </w:pPr>
    <w:rPr>
      <w:rFonts w:ascii="Aptos" w:hAnsi="Aptos" w:cs="Aptos"/>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arpa.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icn.org.au/icn_ns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fo.buy.nsw.gov.au/policy-library/procurement-board-directions/pbd-2019-05-enforceable-procurement-provis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y.nsw.gov.au/suppliers" TargetMode="External"/><Relationship Id="rId5" Type="http://schemas.openxmlformats.org/officeDocument/2006/relationships/numbering" Target="numbering.xml"/><Relationship Id="rId15" Type="http://schemas.openxmlformats.org/officeDocument/2006/relationships/hyperlink" Target="https://abr.business.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r.business.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PERE\Downloads\NSW_Treasury_Stationery_One_Page_Summary%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DB809511C246158A4563B51B9DFD40"/>
        <w:category>
          <w:name w:val="General"/>
          <w:gallery w:val="placeholder"/>
        </w:category>
        <w:types>
          <w:type w:val="bbPlcHdr"/>
        </w:types>
        <w:behaviors>
          <w:behavior w:val="content"/>
        </w:behaviors>
        <w:guid w:val="{5B60C4BB-ECCA-4E4E-BC71-D62F762FDE9B}"/>
      </w:docPartPr>
      <w:docPartBody>
        <w:p w:rsidR="00587715" w:rsidRDefault="00751467">
          <w:pPr>
            <w:pStyle w:val="CDDB809511C246158A4563B51B9DFD40"/>
          </w:pPr>
          <w:r w:rsidRPr="00194597">
            <w:rPr>
              <w:rStyle w:val="PlaceholderText"/>
            </w:rPr>
            <w:t>[</w:t>
          </w:r>
          <w:r w:rsidRPr="003E5CA8">
            <w:rPr>
              <w:rStyle w:val="PlaceholderText"/>
            </w:rPr>
            <w:t xml:space="preserve">Click here to enter </w:t>
          </w:r>
          <w:r>
            <w:rPr>
              <w:rStyle w:val="PlaceholderText"/>
            </w:rPr>
            <w:t>Subt</w:t>
          </w:r>
          <w:r w:rsidRPr="003E5CA8">
            <w:rPr>
              <w:rStyle w:val="PlaceholderText"/>
            </w:rPr>
            <w:t>itle – 2 lines maximum, header tinted colours are the same when save as PDF.</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4F"/>
    <w:rsid w:val="000608D9"/>
    <w:rsid w:val="000849DE"/>
    <w:rsid w:val="00136B1F"/>
    <w:rsid w:val="001A5A61"/>
    <w:rsid w:val="001C144F"/>
    <w:rsid w:val="001E056B"/>
    <w:rsid w:val="0025433C"/>
    <w:rsid w:val="00264CD2"/>
    <w:rsid w:val="00281C96"/>
    <w:rsid w:val="002A505B"/>
    <w:rsid w:val="00363825"/>
    <w:rsid w:val="0040793B"/>
    <w:rsid w:val="004B7CFA"/>
    <w:rsid w:val="00536107"/>
    <w:rsid w:val="00587715"/>
    <w:rsid w:val="005C27C2"/>
    <w:rsid w:val="00605CD9"/>
    <w:rsid w:val="00611D6D"/>
    <w:rsid w:val="00640E23"/>
    <w:rsid w:val="006A33F5"/>
    <w:rsid w:val="00732D25"/>
    <w:rsid w:val="00751467"/>
    <w:rsid w:val="007A2382"/>
    <w:rsid w:val="008F6238"/>
    <w:rsid w:val="009175E1"/>
    <w:rsid w:val="00942382"/>
    <w:rsid w:val="009E1CA2"/>
    <w:rsid w:val="00A74B5C"/>
    <w:rsid w:val="00B07F71"/>
    <w:rsid w:val="00B36622"/>
    <w:rsid w:val="00B6075A"/>
    <w:rsid w:val="00B71B1A"/>
    <w:rsid w:val="00C273C2"/>
    <w:rsid w:val="00CD0674"/>
    <w:rsid w:val="00DB3F18"/>
    <w:rsid w:val="00E00139"/>
    <w:rsid w:val="00E17B32"/>
    <w:rsid w:val="00E50ED3"/>
    <w:rsid w:val="00E86EC6"/>
    <w:rsid w:val="00EA7269"/>
    <w:rsid w:val="00F7583E"/>
    <w:rsid w:val="00FA55B9"/>
    <w:rsid w:val="00FD3E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DB809511C246158A4563B51B9DFD40">
    <w:name w:val="CDDB809511C246158A4563B51B9DF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4C787A4E42145A71308FEC6894C06" ma:contentTypeVersion="14" ma:contentTypeDescription="Create a new document." ma:contentTypeScope="" ma:versionID="4c938039575301dab3745fe9bc061814">
  <xsd:schema xmlns:xsd="http://www.w3.org/2001/XMLSchema" xmlns:xs="http://www.w3.org/2001/XMLSchema" xmlns:p="http://schemas.microsoft.com/office/2006/metadata/properties" xmlns:ns2="4aaaea4d-4842-4932-abf1-bd2eb75c44c8" xmlns:ns3="e9daed55-279a-432f-8479-4178bfc2d85a" targetNamespace="http://schemas.microsoft.com/office/2006/metadata/properties" ma:root="true" ma:fieldsID="68baea9c43ecddeef9b81f93cf5f2ba3" ns2:_="" ns3:_="">
    <xsd:import namespace="4aaaea4d-4842-4932-abf1-bd2eb75c44c8"/>
    <xsd:import namespace="e9daed55-279a-432f-8479-4178bfc2d8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aea4d-4842-4932-abf1-bd2eb75c4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aed55-279a-432f-8479-4178bfc2d8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2a276f-04b1-46e5-b6b0-f15fe83ffe71}" ma:internalName="TaxCatchAll" ma:showField="CatchAllData" ma:web="e9daed55-279a-432f-8479-4178bfc2d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daed55-279a-432f-8479-4178bfc2d85a" xsi:nil="true"/>
    <lcf76f155ced4ddcb4097134ff3c332f xmlns="4aaaea4d-4842-4932-abf1-bd2eb75c44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F76B4A-75AA-423C-8F71-546A703B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aea4d-4842-4932-abf1-bd2eb75c44c8"/>
    <ds:schemaRef ds:uri="e9daed55-279a-432f-8479-4178bfc2d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21610-78A5-400B-81F8-83EECC50CA79}">
  <ds:schemaRefs>
    <ds:schemaRef ds:uri="http://schemas.microsoft.com/sharepoint/v3/contenttype/forms"/>
  </ds:schemaRefs>
</ds:datastoreItem>
</file>

<file path=customXml/itemProps3.xml><?xml version="1.0" encoding="utf-8"?>
<ds:datastoreItem xmlns:ds="http://schemas.openxmlformats.org/officeDocument/2006/customXml" ds:itemID="{A90BBF03-C48D-4D30-924F-98368F007458}">
  <ds:schemaRefs>
    <ds:schemaRef ds:uri="http://schemas.openxmlformats.org/officeDocument/2006/bibliography"/>
  </ds:schemaRefs>
</ds:datastoreItem>
</file>

<file path=customXml/itemProps4.xml><?xml version="1.0" encoding="utf-8"?>
<ds:datastoreItem xmlns:ds="http://schemas.openxmlformats.org/officeDocument/2006/customXml" ds:itemID="{4817C6E6-C4C1-4B5A-A9F6-0F51F14192B2}">
  <ds:schemaRefs>
    <ds:schemaRef ds:uri="http://schemas.microsoft.com/office/2006/metadata/properties"/>
    <ds:schemaRef ds:uri="http://schemas.microsoft.com/office/infopath/2007/PartnerControls"/>
    <ds:schemaRef ds:uri="e9daed55-279a-432f-8479-4178bfc2d85a"/>
    <ds:schemaRef ds:uri="4aaaea4d-4842-4932-abf1-bd2eb75c44c8"/>
  </ds:schemaRefs>
</ds:datastoreItem>
</file>

<file path=docProps/app.xml><?xml version="1.0" encoding="utf-8"?>
<Properties xmlns="http://schemas.openxmlformats.org/officeDocument/2006/extended-properties" xmlns:vt="http://schemas.openxmlformats.org/officeDocument/2006/docPropsVTypes">
  <Template>NSW_Treasury_Stationery_One_Page_Summary (2)</Template>
  <TotalTime>1</TotalTime>
  <Pages>10</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Guidance on increasing opportunities for local suppliers to supply to government</vt:lpstr>
    </vt:vector>
  </TitlesOfParts>
  <Company/>
  <LinksUpToDate>false</LinksUpToDate>
  <CharactersWithSpaces>23832</CharactersWithSpaces>
  <SharedDoc>false</SharedDoc>
  <HLinks>
    <vt:vector size="108" baseType="variant">
      <vt:variant>
        <vt:i4>4325399</vt:i4>
      </vt:variant>
      <vt:variant>
        <vt:i4>90</vt:i4>
      </vt:variant>
      <vt:variant>
        <vt:i4>0</vt:i4>
      </vt:variant>
      <vt:variant>
        <vt:i4>5</vt:i4>
      </vt:variant>
      <vt:variant>
        <vt:lpwstr>https://www.info.buy.nsw.gov.au/policy-library/procurement-board-directions/pbd-2019-05-enforceable-procurement-provisions</vt:lpwstr>
      </vt:variant>
      <vt:variant>
        <vt:lpwstr>:~:text=This%20Direction%20sets%20out%20requirements%20relating%20to%20international%20procurement%20agreements</vt:lpwstr>
      </vt:variant>
      <vt:variant>
        <vt:i4>524357</vt:i4>
      </vt:variant>
      <vt:variant>
        <vt:i4>87</vt:i4>
      </vt:variant>
      <vt:variant>
        <vt:i4>0</vt:i4>
      </vt:variant>
      <vt:variant>
        <vt:i4>5</vt:i4>
      </vt:variant>
      <vt:variant>
        <vt:lpwstr>https://abr.business.gov.au/</vt:lpwstr>
      </vt:variant>
      <vt:variant>
        <vt:lpwstr/>
      </vt:variant>
      <vt:variant>
        <vt:i4>524357</vt:i4>
      </vt:variant>
      <vt:variant>
        <vt:i4>84</vt:i4>
      </vt:variant>
      <vt:variant>
        <vt:i4>0</vt:i4>
      </vt:variant>
      <vt:variant>
        <vt:i4>5</vt:i4>
      </vt:variant>
      <vt:variant>
        <vt:lpwstr>https://abr.business.gov.au/</vt:lpwstr>
      </vt:variant>
      <vt:variant>
        <vt:lpwstr/>
      </vt:variant>
      <vt:variant>
        <vt:i4>1704005</vt:i4>
      </vt:variant>
      <vt:variant>
        <vt:i4>81</vt:i4>
      </vt:variant>
      <vt:variant>
        <vt:i4>0</vt:i4>
      </vt:variant>
      <vt:variant>
        <vt:i4>5</vt:i4>
      </vt:variant>
      <vt:variant>
        <vt:lpwstr>https://yarpa.com.au/</vt:lpwstr>
      </vt:variant>
      <vt:variant>
        <vt:lpwstr/>
      </vt:variant>
      <vt:variant>
        <vt:i4>3276878</vt:i4>
      </vt:variant>
      <vt:variant>
        <vt:i4>78</vt:i4>
      </vt:variant>
      <vt:variant>
        <vt:i4>0</vt:i4>
      </vt:variant>
      <vt:variant>
        <vt:i4>5</vt:i4>
      </vt:variant>
      <vt:variant>
        <vt:lpwstr>https://www.icn.org.au/icn_nsw/</vt:lpwstr>
      </vt:variant>
      <vt:variant>
        <vt:lpwstr/>
      </vt:variant>
      <vt:variant>
        <vt:i4>5898243</vt:i4>
      </vt:variant>
      <vt:variant>
        <vt:i4>75</vt:i4>
      </vt:variant>
      <vt:variant>
        <vt:i4>0</vt:i4>
      </vt:variant>
      <vt:variant>
        <vt:i4>5</vt:i4>
      </vt:variant>
      <vt:variant>
        <vt:lpwstr>https://buy.nsw.gov.au/suppliers</vt:lpwstr>
      </vt:variant>
      <vt:variant>
        <vt:lpwstr/>
      </vt:variant>
      <vt:variant>
        <vt:i4>1966139</vt:i4>
      </vt:variant>
      <vt:variant>
        <vt:i4>68</vt:i4>
      </vt:variant>
      <vt:variant>
        <vt:i4>0</vt:i4>
      </vt:variant>
      <vt:variant>
        <vt:i4>5</vt:i4>
      </vt:variant>
      <vt:variant>
        <vt:lpwstr/>
      </vt:variant>
      <vt:variant>
        <vt:lpwstr>_Toc178600286</vt:lpwstr>
      </vt:variant>
      <vt:variant>
        <vt:i4>1114171</vt:i4>
      </vt:variant>
      <vt:variant>
        <vt:i4>62</vt:i4>
      </vt:variant>
      <vt:variant>
        <vt:i4>0</vt:i4>
      </vt:variant>
      <vt:variant>
        <vt:i4>5</vt:i4>
      </vt:variant>
      <vt:variant>
        <vt:lpwstr/>
      </vt:variant>
      <vt:variant>
        <vt:lpwstr>_Toc178600279</vt:lpwstr>
      </vt:variant>
      <vt:variant>
        <vt:i4>1114171</vt:i4>
      </vt:variant>
      <vt:variant>
        <vt:i4>56</vt:i4>
      </vt:variant>
      <vt:variant>
        <vt:i4>0</vt:i4>
      </vt:variant>
      <vt:variant>
        <vt:i4>5</vt:i4>
      </vt:variant>
      <vt:variant>
        <vt:lpwstr/>
      </vt:variant>
      <vt:variant>
        <vt:lpwstr>_Toc178600278</vt:lpwstr>
      </vt:variant>
      <vt:variant>
        <vt:i4>1114171</vt:i4>
      </vt:variant>
      <vt:variant>
        <vt:i4>50</vt:i4>
      </vt:variant>
      <vt:variant>
        <vt:i4>0</vt:i4>
      </vt:variant>
      <vt:variant>
        <vt:i4>5</vt:i4>
      </vt:variant>
      <vt:variant>
        <vt:lpwstr/>
      </vt:variant>
      <vt:variant>
        <vt:lpwstr>_Toc178600277</vt:lpwstr>
      </vt:variant>
      <vt:variant>
        <vt:i4>1114171</vt:i4>
      </vt:variant>
      <vt:variant>
        <vt:i4>44</vt:i4>
      </vt:variant>
      <vt:variant>
        <vt:i4>0</vt:i4>
      </vt:variant>
      <vt:variant>
        <vt:i4>5</vt:i4>
      </vt:variant>
      <vt:variant>
        <vt:lpwstr/>
      </vt:variant>
      <vt:variant>
        <vt:lpwstr>_Toc178600275</vt:lpwstr>
      </vt:variant>
      <vt:variant>
        <vt:i4>1114171</vt:i4>
      </vt:variant>
      <vt:variant>
        <vt:i4>38</vt:i4>
      </vt:variant>
      <vt:variant>
        <vt:i4>0</vt:i4>
      </vt:variant>
      <vt:variant>
        <vt:i4>5</vt:i4>
      </vt:variant>
      <vt:variant>
        <vt:lpwstr/>
      </vt:variant>
      <vt:variant>
        <vt:lpwstr>_Toc178600274</vt:lpwstr>
      </vt:variant>
      <vt:variant>
        <vt:i4>1114171</vt:i4>
      </vt:variant>
      <vt:variant>
        <vt:i4>32</vt:i4>
      </vt:variant>
      <vt:variant>
        <vt:i4>0</vt:i4>
      </vt:variant>
      <vt:variant>
        <vt:i4>5</vt:i4>
      </vt:variant>
      <vt:variant>
        <vt:lpwstr/>
      </vt:variant>
      <vt:variant>
        <vt:lpwstr>_Toc178600273</vt:lpwstr>
      </vt:variant>
      <vt:variant>
        <vt:i4>1114171</vt:i4>
      </vt:variant>
      <vt:variant>
        <vt:i4>26</vt:i4>
      </vt:variant>
      <vt:variant>
        <vt:i4>0</vt:i4>
      </vt:variant>
      <vt:variant>
        <vt:i4>5</vt:i4>
      </vt:variant>
      <vt:variant>
        <vt:lpwstr/>
      </vt:variant>
      <vt:variant>
        <vt:lpwstr>_Toc178600272</vt:lpwstr>
      </vt:variant>
      <vt:variant>
        <vt:i4>1114171</vt:i4>
      </vt:variant>
      <vt:variant>
        <vt:i4>20</vt:i4>
      </vt:variant>
      <vt:variant>
        <vt:i4>0</vt:i4>
      </vt:variant>
      <vt:variant>
        <vt:i4>5</vt:i4>
      </vt:variant>
      <vt:variant>
        <vt:lpwstr/>
      </vt:variant>
      <vt:variant>
        <vt:lpwstr>_Toc178600271</vt:lpwstr>
      </vt:variant>
      <vt:variant>
        <vt:i4>1114171</vt:i4>
      </vt:variant>
      <vt:variant>
        <vt:i4>14</vt:i4>
      </vt:variant>
      <vt:variant>
        <vt:i4>0</vt:i4>
      </vt:variant>
      <vt:variant>
        <vt:i4>5</vt:i4>
      </vt:variant>
      <vt:variant>
        <vt:lpwstr/>
      </vt:variant>
      <vt:variant>
        <vt:lpwstr>_Toc178600270</vt:lpwstr>
      </vt:variant>
      <vt:variant>
        <vt:i4>1048635</vt:i4>
      </vt:variant>
      <vt:variant>
        <vt:i4>8</vt:i4>
      </vt:variant>
      <vt:variant>
        <vt:i4>0</vt:i4>
      </vt:variant>
      <vt:variant>
        <vt:i4>5</vt:i4>
      </vt:variant>
      <vt:variant>
        <vt:lpwstr/>
      </vt:variant>
      <vt:variant>
        <vt:lpwstr>_Toc178600269</vt:lpwstr>
      </vt:variant>
      <vt:variant>
        <vt:i4>1048635</vt:i4>
      </vt:variant>
      <vt:variant>
        <vt:i4>2</vt:i4>
      </vt:variant>
      <vt:variant>
        <vt:i4>0</vt:i4>
      </vt:variant>
      <vt:variant>
        <vt:i4>5</vt:i4>
      </vt:variant>
      <vt:variant>
        <vt:lpwstr/>
      </vt:variant>
      <vt:variant>
        <vt:lpwstr>_Toc178600268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increasing opportunities for local suppliers to supply to government</dc:title>
  <dc:subject/>
  <dc:creator>NSW Procurement</dc:creator>
  <cp:keywords/>
  <dc:description/>
  <cp:lastModifiedBy>Ta-Seen Monzoor</cp:lastModifiedBy>
  <cp:revision>2</cp:revision>
  <cp:lastPrinted>2022-02-15T23:16:00Z</cp:lastPrinted>
  <dcterms:created xsi:type="dcterms:W3CDTF">2024-12-05T03:35:00Z</dcterms:created>
  <dcterms:modified xsi:type="dcterms:W3CDTF">2024-12-05T03:35:00Z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0x0101002D34C787A4E42145A71308FEC6894C06</vt:lpwstr>
  </property>
</Properties>
</file>