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E29F" w14:textId="77777777" w:rsidR="00147AB9" w:rsidRPr="000F2A6E" w:rsidRDefault="00DB183E" w:rsidP="00147AB9">
      <w:r w:rsidRPr="000F2A6E">
        <w:rPr>
          <w:noProof/>
          <w:lang w:eastAsia="en-AU"/>
        </w:rPr>
        <w:drawing>
          <wp:anchor distT="0" distB="0" distL="114300" distR="114300" simplePos="0" relativeHeight="251658240" behindDoc="0" locked="1" layoutInCell="1" allowOverlap="1" wp14:anchorId="2824E30E" wp14:editId="2824E30F">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8241" behindDoc="1" locked="1" layoutInCell="1" allowOverlap="1" wp14:anchorId="2824E310" wp14:editId="2824E311">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rPr>
              <w:rFonts w:cs="Arial"/>
            </w:r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EndPr/>
          <w:sdtContent>
            <w:p w14:paraId="2824E2A0" w14:textId="67DA0230" w:rsidR="00DE09EC" w:rsidRPr="00050DDF" w:rsidRDefault="00F758C9" w:rsidP="00DA2ED9">
              <w:pPr>
                <w:pStyle w:val="Seriestitle"/>
                <w:spacing w:before="120"/>
              </w:pPr>
              <w:r w:rsidRPr="00F758C9">
                <w:rPr>
                  <w:rFonts w:cs="Arial"/>
                </w:rPr>
                <w:t>Electric Vehicle Fleet Charging Infrastructure Prequalification Scheme</w:t>
              </w:r>
            </w:p>
          </w:sdtContent>
        </w:sdt>
        <w:p w14:paraId="2824E2A1" w14:textId="12849FF7" w:rsidR="00DE09EC" w:rsidRPr="00203F1A" w:rsidRDefault="00807A31" w:rsidP="00203F1A">
          <w:pPr>
            <w:pStyle w:val="Title"/>
          </w:pPr>
          <w:sdt>
            <w:sdtPr>
              <w:alias w:val="Document main title"/>
              <w:tag w:val="Document main title"/>
              <w:id w:val="1162355731"/>
              <w:lock w:val="sdtLocked"/>
              <w:placeholder>
                <w:docPart w:val="ACE3E17A04F643918E89D79FCB912EBF"/>
              </w:placeholder>
              <w:dataBinding w:xpath="/root[1]/DocTitle[1]" w:storeItemID="{180FEE2B-92DD-4DDF-8CD2-B2B446081537}"/>
              <w:text/>
            </w:sdtPr>
            <w:sdtEndPr/>
            <w:sdtContent>
              <w:r w:rsidR="00447128" w:rsidRPr="00447128">
                <w:t>SCM13381 Agency Guidelines</w:t>
              </w:r>
            </w:sdtContent>
          </w:sdt>
        </w:p>
      </w:sdtContent>
    </w:sdt>
    <w:sdt>
      <w:sdt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824E2A5" w14:textId="6343779E" w:rsidR="002D02C0" w:rsidRPr="000F2A6E" w:rsidRDefault="00E55107" w:rsidP="003A7FBA">
          <w:pPr>
            <w:pStyle w:val="Subtitle"/>
            <w:sectPr w:rsidR="002D02C0" w:rsidRPr="000F2A6E" w:rsidSect="00DB183E">
              <w:footerReference w:type="first" r:id="rId14"/>
              <w:pgSz w:w="11906" w:h="16838" w:code="9"/>
              <w:pgMar w:top="3261" w:right="1134" w:bottom="9072" w:left="1134" w:header="567" w:footer="567" w:gutter="0"/>
              <w:pgNumType w:start="0"/>
              <w:cols w:space="708"/>
              <w:docGrid w:linePitch="360"/>
            </w:sectPr>
          </w:pPr>
          <w:r>
            <w:t>NSW Procurement</w:t>
          </w:r>
        </w:p>
      </w:sdtContent>
    </w:sdt>
    <w:p w14:paraId="0E2C6DE6" w14:textId="77777777" w:rsidR="005F3C18" w:rsidRDefault="005F3C18" w:rsidP="005F3C18">
      <w:pPr>
        <w:pStyle w:val="H1noTOC"/>
      </w:pPr>
      <w:r>
        <w:lastRenderedPageBreak/>
        <w:t>Where to start</w:t>
      </w:r>
    </w:p>
    <w:p w14:paraId="5980CA66" w14:textId="77777777" w:rsidR="005F3C18" w:rsidRPr="00711FAC" w:rsidRDefault="005F3C18" w:rsidP="005F3C18"/>
    <w:p w14:paraId="3CE18D96" w14:textId="77777777" w:rsidR="005F3C18" w:rsidRPr="00711FAC" w:rsidRDefault="005F3C18" w:rsidP="005F3C18">
      <w:pPr>
        <w:rPr>
          <w:b/>
          <w:bCs/>
          <w:color w:val="2C2B2B" w:themeColor="text1"/>
          <w:sz w:val="36"/>
          <w:szCs w:val="36"/>
        </w:rPr>
      </w:pPr>
      <w:bookmarkStart w:id="0" w:name="_Toc6471345"/>
      <w:bookmarkStart w:id="1" w:name="_Toc6490681"/>
      <w:bookmarkStart w:id="2" w:name="_Toc11319136"/>
      <w:bookmarkStart w:id="3" w:name="_Toc54877976"/>
      <w:bookmarkStart w:id="4" w:name="_Toc7012198"/>
      <w:r w:rsidRPr="00711FAC">
        <w:rPr>
          <w:b/>
          <w:bCs/>
          <w:color w:val="2C2B2B" w:themeColor="text1"/>
          <w:sz w:val="36"/>
          <w:szCs w:val="36"/>
        </w:rPr>
        <w:t>Buy.NSW</w:t>
      </w:r>
      <w:bookmarkEnd w:id="0"/>
      <w:bookmarkEnd w:id="1"/>
      <w:bookmarkEnd w:id="2"/>
      <w:bookmarkEnd w:id="3"/>
    </w:p>
    <w:p w14:paraId="340187DD" w14:textId="4D4E9E69" w:rsidR="005F3C18" w:rsidRPr="004C7FD7" w:rsidRDefault="005F3C18" w:rsidP="005F3C18">
      <w:pPr>
        <w:rPr>
          <w:color w:val="2C2B2B" w:themeColor="text1"/>
        </w:rPr>
      </w:pPr>
      <w:bookmarkStart w:id="5" w:name="_Toc54877977"/>
      <w:r w:rsidRPr="004C7FD7">
        <w:rPr>
          <w:color w:val="2C2B2B" w:themeColor="text1"/>
        </w:rPr>
        <w:t xml:space="preserve">All </w:t>
      </w:r>
      <w:r>
        <w:rPr>
          <w:color w:val="2C2B2B" w:themeColor="text1"/>
        </w:rPr>
        <w:t xml:space="preserve">relevant </w:t>
      </w:r>
      <w:r w:rsidRPr="004C7FD7">
        <w:rPr>
          <w:color w:val="2C2B2B" w:themeColor="text1"/>
        </w:rPr>
        <w:t xml:space="preserve">documents related to </w:t>
      </w:r>
      <w:r w:rsidR="00447128" w:rsidRPr="00447128">
        <w:rPr>
          <w:color w:val="2C2B2B" w:themeColor="text1"/>
        </w:rPr>
        <w:t>SCM13381</w:t>
      </w:r>
      <w:r w:rsidRPr="004C7FD7">
        <w:rPr>
          <w:color w:val="2C2B2B" w:themeColor="text1"/>
        </w:rPr>
        <w:t xml:space="preserve"> can be found on </w:t>
      </w:r>
      <w:r>
        <w:rPr>
          <w:color w:val="2C2B2B" w:themeColor="text1"/>
        </w:rPr>
        <w:t>B</w:t>
      </w:r>
      <w:r w:rsidRPr="004C7FD7">
        <w:rPr>
          <w:color w:val="2C2B2B" w:themeColor="text1"/>
        </w:rPr>
        <w:t>uy.NSW</w:t>
      </w:r>
      <w:r>
        <w:rPr>
          <w:color w:val="2C2B2B" w:themeColor="text1"/>
        </w:rPr>
        <w:t xml:space="preserve"> </w:t>
      </w:r>
      <w:hyperlink r:id="rId15" w:history="1">
        <w:r w:rsidR="00731F49">
          <w:rPr>
            <w:rStyle w:val="Hyperlink"/>
          </w:rPr>
          <w:t>Electric Vehicle Fleet Charging Infrastructure Scheme | info.buy.nsw</w:t>
        </w:r>
      </w:hyperlink>
      <w:r w:rsidRPr="004C7FD7">
        <w:rPr>
          <w:color w:val="2C2B2B" w:themeColor="text1"/>
        </w:rPr>
        <w:t>, including:</w:t>
      </w:r>
    </w:p>
    <w:p w14:paraId="39C5F0FE" w14:textId="77777777" w:rsidR="005F3C18" w:rsidRPr="004C7FD7" w:rsidRDefault="005F3C18" w:rsidP="005F3C18">
      <w:pPr>
        <w:pStyle w:val="ListParagraph"/>
        <w:numPr>
          <w:ilvl w:val="0"/>
          <w:numId w:val="10"/>
        </w:numPr>
        <w:rPr>
          <w:color w:val="2C2B2B" w:themeColor="text1"/>
        </w:rPr>
      </w:pPr>
      <w:r>
        <w:rPr>
          <w:color w:val="2C2B2B" w:themeColor="text1"/>
        </w:rPr>
        <w:t>Scheme</w:t>
      </w:r>
      <w:r w:rsidRPr="004C7FD7">
        <w:rPr>
          <w:color w:val="2C2B2B" w:themeColor="text1"/>
        </w:rPr>
        <w:t xml:space="preserve"> Conditions </w:t>
      </w:r>
    </w:p>
    <w:p w14:paraId="79BB1397" w14:textId="77777777" w:rsidR="005F3C18" w:rsidRDefault="005F3C18" w:rsidP="005F3C18">
      <w:pPr>
        <w:pStyle w:val="ListParagraph"/>
        <w:numPr>
          <w:ilvl w:val="0"/>
          <w:numId w:val="10"/>
        </w:numPr>
        <w:rPr>
          <w:color w:val="2C2B2B" w:themeColor="text1"/>
        </w:rPr>
      </w:pPr>
      <w:r w:rsidRPr="005165AB">
        <w:rPr>
          <w:color w:val="2C2B2B" w:themeColor="text1"/>
        </w:rPr>
        <w:t>Guidelines for Agencies (this document)</w:t>
      </w:r>
    </w:p>
    <w:p w14:paraId="18EB8776" w14:textId="77777777" w:rsidR="005F3C18" w:rsidRDefault="005F3C18" w:rsidP="005F3C18">
      <w:pPr>
        <w:rPr>
          <w:b/>
          <w:bCs/>
          <w:color w:val="2C2B2B" w:themeColor="text1"/>
          <w:sz w:val="36"/>
          <w:szCs w:val="36"/>
        </w:rPr>
      </w:pPr>
    </w:p>
    <w:p w14:paraId="1EB87A3C" w14:textId="77777777" w:rsidR="005F3C18" w:rsidRPr="00711FAC" w:rsidRDefault="005F3C18" w:rsidP="005F3C18">
      <w:pPr>
        <w:rPr>
          <w:color w:val="2C2B2B" w:themeColor="text1"/>
        </w:rPr>
      </w:pPr>
      <w:r w:rsidRPr="00711FAC">
        <w:rPr>
          <w:b/>
          <w:bCs/>
          <w:color w:val="2C2B2B" w:themeColor="text1"/>
          <w:sz w:val="36"/>
          <w:szCs w:val="36"/>
        </w:rPr>
        <w:t>Terms and definitions</w:t>
      </w:r>
      <w:bookmarkEnd w:id="5"/>
    </w:p>
    <w:p w14:paraId="26360466" w14:textId="77777777" w:rsidR="005F3C18" w:rsidRPr="002A72E8" w:rsidRDefault="005F3C18" w:rsidP="005F3C18">
      <w:pPr>
        <w:rPr>
          <w:color w:val="2C2B2B" w:themeColor="text1"/>
        </w:rPr>
      </w:pPr>
      <w:r w:rsidRPr="00832D26">
        <w:rPr>
          <w:color w:val="2C2B2B" w:themeColor="text1"/>
        </w:rPr>
        <w:t>Some terms and words used in this document have a defined meaning</w:t>
      </w:r>
      <w:r>
        <w:rPr>
          <w:color w:val="2C2B2B" w:themeColor="text1"/>
        </w:rPr>
        <w:t xml:space="preserve"> (r</w:t>
      </w:r>
      <w:r w:rsidRPr="00832D26">
        <w:rPr>
          <w:color w:val="2C2B2B" w:themeColor="text1"/>
        </w:rPr>
        <w:t xml:space="preserve">efer to Attachment </w:t>
      </w:r>
      <w:r>
        <w:rPr>
          <w:color w:val="2C2B2B" w:themeColor="text1"/>
        </w:rPr>
        <w:t>A)</w:t>
      </w:r>
    </w:p>
    <w:bookmarkEnd w:id="4"/>
    <w:p w14:paraId="0153842A" w14:textId="77777777" w:rsidR="005F3C18" w:rsidRDefault="005F3C18" w:rsidP="005F3C18">
      <w:pPr>
        <w:rPr>
          <w:b/>
          <w:bCs/>
          <w:color w:val="2C2B2B" w:themeColor="text1"/>
          <w:sz w:val="36"/>
          <w:szCs w:val="36"/>
        </w:rPr>
      </w:pPr>
    </w:p>
    <w:p w14:paraId="7C020131" w14:textId="77777777" w:rsidR="005F3C18" w:rsidRPr="00711FAC" w:rsidRDefault="005F3C18" w:rsidP="005F3C18">
      <w:pPr>
        <w:rPr>
          <w:b/>
          <w:bCs/>
          <w:color w:val="2C2B2B" w:themeColor="text1"/>
          <w:sz w:val="36"/>
          <w:szCs w:val="36"/>
        </w:rPr>
      </w:pPr>
      <w:r w:rsidRPr="00711FAC">
        <w:rPr>
          <w:b/>
          <w:bCs/>
          <w:color w:val="2C2B2B" w:themeColor="text1"/>
          <w:sz w:val="36"/>
          <w:szCs w:val="36"/>
        </w:rPr>
        <w:t>Supplier Hub</w:t>
      </w:r>
    </w:p>
    <w:p w14:paraId="73F4AF02" w14:textId="77777777" w:rsidR="005F3C18" w:rsidRDefault="005F3C18" w:rsidP="005F3C18">
      <w:r>
        <w:t xml:space="preserve">To view and select Suppliers included on the Scheme, </w:t>
      </w:r>
      <w:r w:rsidRPr="0018647B">
        <w:t xml:space="preserve">log in to </w:t>
      </w:r>
      <w:hyperlink r:id="rId16" w:history="1">
        <w:r w:rsidRPr="00EC0851">
          <w:rPr>
            <w:rStyle w:val="Hyperlink"/>
          </w:rPr>
          <w:t>Supplier Hub</w:t>
        </w:r>
      </w:hyperlink>
      <w:r>
        <w:t xml:space="preserve"> as a buyer.</w:t>
      </w:r>
    </w:p>
    <w:p w14:paraId="0CEACF00" w14:textId="77777777" w:rsidR="005F3C18" w:rsidRDefault="005F3C18" w:rsidP="005F3C18">
      <w:pPr>
        <w:rPr>
          <w:b/>
          <w:bCs/>
          <w:color w:val="2C2B2B" w:themeColor="text1"/>
          <w:sz w:val="36"/>
          <w:szCs w:val="36"/>
        </w:rPr>
      </w:pPr>
      <w:bookmarkStart w:id="6" w:name="_Toc7012199"/>
    </w:p>
    <w:p w14:paraId="2713DC70" w14:textId="77777777" w:rsidR="005F3C18" w:rsidRPr="00711FAC" w:rsidRDefault="005F3C18" w:rsidP="005F3C18">
      <w:pPr>
        <w:rPr>
          <w:b/>
          <w:bCs/>
          <w:color w:val="2C2B2B" w:themeColor="text1"/>
          <w:sz w:val="36"/>
          <w:szCs w:val="36"/>
        </w:rPr>
      </w:pPr>
      <w:r w:rsidRPr="00711FAC">
        <w:rPr>
          <w:b/>
          <w:bCs/>
          <w:color w:val="2C2B2B" w:themeColor="text1"/>
          <w:sz w:val="36"/>
          <w:szCs w:val="36"/>
        </w:rPr>
        <w:t>Enquiries</w:t>
      </w:r>
      <w:bookmarkEnd w:id="6"/>
    </w:p>
    <w:p w14:paraId="3FFC7952" w14:textId="3C2301E8" w:rsidR="005F3C18" w:rsidRDefault="005F3C18" w:rsidP="005F3C18">
      <w:pPr>
        <w:pStyle w:val="DFSIBodyText"/>
        <w:ind w:left="0"/>
      </w:pPr>
      <w:r w:rsidRPr="00057E90">
        <w:t xml:space="preserve">For enquiries please contact: </w:t>
      </w:r>
      <w:hyperlink r:id="rId17" w:history="1">
        <w:r w:rsidRPr="00321DF1">
          <w:rPr>
            <w:rStyle w:val="Hyperlink"/>
          </w:rPr>
          <w:t>NSWGFleetElectrification@treasury.nsw.gov.au</w:t>
        </w:r>
      </w:hyperlink>
      <w:r>
        <w:t xml:space="preserve"> or contact the NSW Procurement Service Centre (details </w:t>
      </w:r>
      <w:r w:rsidR="00E408D0">
        <w:t>below</w:t>
      </w:r>
      <w:r>
        <w:t>).</w:t>
      </w:r>
    </w:p>
    <w:p w14:paraId="364876CA" w14:textId="77777777" w:rsidR="00C54D0C" w:rsidRDefault="00C54D0C" w:rsidP="00492E80">
      <w:pPr>
        <w:pStyle w:val="Smalltextparagraph"/>
      </w:pPr>
    </w:p>
    <w:p w14:paraId="071773FF" w14:textId="77777777" w:rsidR="00C54D0C" w:rsidRDefault="00C54D0C" w:rsidP="00492E80">
      <w:pPr>
        <w:pStyle w:val="Smalltextparagraph"/>
      </w:pPr>
    </w:p>
    <w:p w14:paraId="3A574ECD" w14:textId="77777777" w:rsidR="00C54D0C" w:rsidRDefault="00C54D0C" w:rsidP="00492E80">
      <w:pPr>
        <w:pStyle w:val="Smalltextparagraph"/>
      </w:pPr>
    </w:p>
    <w:p w14:paraId="66C3B658" w14:textId="77777777" w:rsidR="00C54D0C" w:rsidRDefault="00C54D0C" w:rsidP="00492E80">
      <w:pPr>
        <w:pStyle w:val="Smalltextparagraph"/>
      </w:pPr>
    </w:p>
    <w:p w14:paraId="4BD335C5" w14:textId="77777777" w:rsidR="00C54D0C" w:rsidRDefault="00C54D0C" w:rsidP="00492E80">
      <w:pPr>
        <w:pStyle w:val="Smalltextparagraph"/>
      </w:pPr>
    </w:p>
    <w:p w14:paraId="47A16FA8" w14:textId="77777777" w:rsidR="00C54D0C" w:rsidRDefault="00C54D0C" w:rsidP="00492E80">
      <w:pPr>
        <w:pStyle w:val="Smalltextparagraph"/>
      </w:pPr>
    </w:p>
    <w:p w14:paraId="5BDD4E67" w14:textId="77777777" w:rsidR="00C54D0C" w:rsidRDefault="00C54D0C" w:rsidP="00492E80">
      <w:pPr>
        <w:pStyle w:val="Smalltextparagraph"/>
      </w:pPr>
    </w:p>
    <w:p w14:paraId="5F9C3557" w14:textId="77777777" w:rsidR="00C54D0C" w:rsidRDefault="00C54D0C" w:rsidP="00492E80">
      <w:pPr>
        <w:pStyle w:val="Smalltextparagraph"/>
      </w:pPr>
    </w:p>
    <w:p w14:paraId="7EAE1EC7" w14:textId="5415B3B6" w:rsidR="00492E80" w:rsidRPr="000F2A6E" w:rsidRDefault="00492E80" w:rsidP="00492E80">
      <w:pPr>
        <w:pStyle w:val="Smalltextparagraph"/>
      </w:pPr>
      <w:r w:rsidRPr="000F2A6E">
        <w:t xml:space="preserve">Published by </w:t>
      </w:r>
      <w:r w:rsidR="00C55286">
        <w:t>NSW Procurement</w:t>
      </w:r>
    </w:p>
    <w:p w14:paraId="78DFBA24" w14:textId="77777777" w:rsidR="00492E80" w:rsidRDefault="00807A31" w:rsidP="00492E80">
      <w:pPr>
        <w:pStyle w:val="Smalltextparagraph"/>
        <w:rPr>
          <w:rStyle w:val="Hyperlink"/>
        </w:rPr>
      </w:pPr>
      <w:hyperlink r:id="rId18" w:history="1">
        <w:r w:rsidR="00492E80">
          <w:rPr>
            <w:rStyle w:val="Hyperlink"/>
          </w:rPr>
          <w:t xml:space="preserve">Buy.nsw.gov.au </w:t>
        </w:r>
      </w:hyperlink>
    </w:p>
    <w:p w14:paraId="2824E2A8" w14:textId="2C81A7DC" w:rsidR="00A23073" w:rsidRPr="000F2A6E" w:rsidRDefault="00374A2D" w:rsidP="00D41E5E">
      <w:pPr>
        <w:pStyle w:val="Smalltextparagraph"/>
      </w:pPr>
      <w:r w:rsidRPr="000F2A6E">
        <w:t xml:space="preserve">Title: </w:t>
      </w:r>
      <w:sdt>
        <w:sdtPr>
          <w:alias w:val="Document main title"/>
          <w:tag w:val="Document main title"/>
          <w:id w:val="1681934434"/>
          <w:lock w:val="sdtLocked"/>
          <w:placeholder>
            <w:docPart w:val="D8226E2BF46E470FA816A1469882932A"/>
          </w:placeholder>
          <w:dataBinding w:xpath="/root[1]/DocTitle[1]" w:storeItemID="{180FEE2B-92DD-4DDF-8CD2-B2B446081537}"/>
          <w:text/>
        </w:sdtPr>
        <w:sdtEndPr/>
        <w:sdtContent>
          <w:r w:rsidR="00447128">
            <w:t>SCM13381 Agency Guidelines</w:t>
          </w:r>
        </w:sdtContent>
      </w:sdt>
    </w:p>
    <w:p w14:paraId="2824E2AC" w14:textId="6CB99E80" w:rsidR="00374A2D" w:rsidRPr="000F2A6E" w:rsidRDefault="00807A31" w:rsidP="009746B2">
      <w:pPr>
        <w:pStyle w:val="Smalltextparagraph"/>
      </w:pP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07">
            <w:t>NSW Procurement</w:t>
          </w:r>
        </w:sdtContent>
      </w:sdt>
    </w:p>
    <w:p w14:paraId="2824E2AD" w14:textId="77777777" w:rsidR="00D0120D" w:rsidRPr="000F2A6E" w:rsidRDefault="00D0120D" w:rsidP="00806A30">
      <w:pPr>
        <w:pStyle w:val="Publicationpageheading"/>
      </w:pPr>
      <w:r w:rsidRPr="000F2A6E">
        <w:t>More information</w:t>
      </w:r>
    </w:p>
    <w:p w14:paraId="2824E2B1" w14:textId="11FF1B21" w:rsidR="005B7B0D" w:rsidRDefault="00B41830" w:rsidP="00806A30">
      <w:pPr>
        <w:pStyle w:val="Photocredit"/>
        <w:rPr>
          <w:i w:val="0"/>
        </w:rPr>
      </w:pPr>
      <w:r>
        <w:rPr>
          <w:i w:val="0"/>
        </w:rPr>
        <w:t>Contact</w:t>
      </w:r>
      <w:r w:rsidR="00C0403F">
        <w:rPr>
          <w:i w:val="0"/>
        </w:rPr>
        <w:t xml:space="preserve"> the NSW Procurement Service Centre</w:t>
      </w:r>
    </w:p>
    <w:p w14:paraId="208B4395" w14:textId="175F8DFF" w:rsidR="00C0403F" w:rsidRPr="00D35A76" w:rsidRDefault="00B41830" w:rsidP="001422B2">
      <w:pPr>
        <w:pStyle w:val="ListParagraph"/>
        <w:numPr>
          <w:ilvl w:val="0"/>
          <w:numId w:val="4"/>
        </w:numPr>
        <w:rPr>
          <w:sz w:val="18"/>
          <w:szCs w:val="18"/>
        </w:rPr>
      </w:pPr>
      <w:r w:rsidRPr="00D35A76">
        <w:rPr>
          <w:sz w:val="18"/>
          <w:szCs w:val="18"/>
        </w:rPr>
        <w:t>Telephone:</w:t>
      </w:r>
      <w:r w:rsidR="00C95E7A">
        <w:rPr>
          <w:sz w:val="18"/>
          <w:szCs w:val="18"/>
        </w:rPr>
        <w:t xml:space="preserve"> </w:t>
      </w:r>
      <w:r w:rsidR="00D35A76">
        <w:rPr>
          <w:sz w:val="18"/>
          <w:szCs w:val="18"/>
        </w:rPr>
        <w:tab/>
      </w:r>
      <w:r w:rsidRPr="00D35A76">
        <w:rPr>
          <w:sz w:val="18"/>
          <w:szCs w:val="18"/>
        </w:rPr>
        <w:t>1800 NSW BUY (1800 679 289)</w:t>
      </w:r>
    </w:p>
    <w:p w14:paraId="642EFDB4" w14:textId="5DAEF89B" w:rsidR="00B41830" w:rsidRPr="00D35A76" w:rsidRDefault="00B41830" w:rsidP="001422B2">
      <w:pPr>
        <w:pStyle w:val="ListParagraph"/>
        <w:numPr>
          <w:ilvl w:val="0"/>
          <w:numId w:val="4"/>
        </w:numPr>
        <w:rPr>
          <w:sz w:val="18"/>
          <w:szCs w:val="18"/>
        </w:rPr>
      </w:pPr>
      <w:r w:rsidRPr="00D35A76">
        <w:rPr>
          <w:sz w:val="18"/>
          <w:szCs w:val="18"/>
        </w:rPr>
        <w:t>Email</w:t>
      </w:r>
      <w:r w:rsidR="00D35A76">
        <w:rPr>
          <w:sz w:val="18"/>
          <w:szCs w:val="18"/>
        </w:rPr>
        <w:t>:</w:t>
      </w:r>
      <w:r w:rsidR="00D35A76">
        <w:rPr>
          <w:sz w:val="18"/>
          <w:szCs w:val="18"/>
        </w:rPr>
        <w:tab/>
      </w:r>
      <w:r w:rsidR="00D35A76">
        <w:rPr>
          <w:sz w:val="18"/>
          <w:szCs w:val="18"/>
        </w:rPr>
        <w:tab/>
      </w:r>
      <w:r w:rsidRPr="00D35A76">
        <w:rPr>
          <w:sz w:val="18"/>
          <w:szCs w:val="18"/>
        </w:rPr>
        <w:t>nswbuy@</w:t>
      </w:r>
      <w:r w:rsidR="00B502A5">
        <w:rPr>
          <w:sz w:val="18"/>
          <w:szCs w:val="18"/>
        </w:rPr>
        <w:t>treasury</w:t>
      </w:r>
      <w:r w:rsidRPr="00D35A76">
        <w:rPr>
          <w:sz w:val="18"/>
          <w:szCs w:val="18"/>
        </w:rPr>
        <w:t>.nsw.gov.au</w:t>
      </w:r>
    </w:p>
    <w:p w14:paraId="182707ED" w14:textId="40BCECAB" w:rsidR="00F51C6A" w:rsidRPr="00F51C6A" w:rsidRDefault="00F51C6A">
      <w:pPr>
        <w:spacing w:before="0" w:after="160" w:line="259" w:lineRule="auto"/>
        <w:rPr>
          <w:rFonts w:eastAsia="Times New Roman" w:cs="Times New Roman"/>
          <w:b/>
          <w:bCs/>
          <w:sz w:val="36"/>
          <w:szCs w:val="38"/>
        </w:rPr>
      </w:pPr>
      <w:r w:rsidRPr="00F51C6A">
        <w:rPr>
          <w:b/>
          <w:bCs/>
          <w:sz w:val="36"/>
          <w:szCs w:val="36"/>
        </w:rPr>
        <w:lastRenderedPageBreak/>
        <w:t>Contents</w:t>
      </w:r>
    </w:p>
    <w:sdt>
      <w:sdtPr>
        <w:rPr>
          <w:color w:val="auto"/>
          <w:sz w:val="22"/>
          <w:szCs w:val="22"/>
        </w:rPr>
        <w:id w:val="-193160060"/>
        <w:docPartObj>
          <w:docPartGallery w:val="Table of Contents"/>
          <w:docPartUnique/>
        </w:docPartObj>
      </w:sdtPr>
      <w:sdtEndPr>
        <w:rPr>
          <w:b/>
          <w:bCs/>
        </w:rPr>
      </w:sdtEndPr>
      <w:sdtContent>
        <w:p w14:paraId="11A71810" w14:textId="3BEA8513" w:rsidR="00C4086C" w:rsidRPr="008427D6" w:rsidRDefault="00C4086C" w:rsidP="00F2260D">
          <w:pPr>
            <w:pStyle w:val="Heading1"/>
            <w:rPr>
              <w:rFonts w:eastAsia="Times New Roman" w:cs="Times New Roman"/>
              <w:b/>
              <w:bCs/>
              <w:color w:val="auto"/>
              <w:sz w:val="2"/>
              <w:szCs w:val="2"/>
            </w:rPr>
          </w:pPr>
        </w:p>
        <w:p w14:paraId="657BD509" w14:textId="77EC8121" w:rsidR="00D5474C" w:rsidRDefault="00C4086C">
          <w:pPr>
            <w:pStyle w:val="TOC1"/>
            <w:tabs>
              <w:tab w:val="left" w:pos="440"/>
              <w:tab w:val="right" w:leader="dot" w:pos="9628"/>
            </w:tabs>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120776894" w:history="1">
            <w:r w:rsidR="00D5474C" w:rsidRPr="00C751B0">
              <w:rPr>
                <w:rStyle w:val="Hyperlink"/>
                <w:noProof/>
              </w:rPr>
              <w:t>1</w:t>
            </w:r>
            <w:r w:rsidR="00D5474C">
              <w:rPr>
                <w:rFonts w:asciiTheme="minorHAnsi" w:eastAsiaTheme="minorEastAsia" w:hAnsiTheme="minorHAnsi"/>
                <w:b w:val="0"/>
                <w:noProof/>
                <w:lang w:eastAsia="en-AU"/>
              </w:rPr>
              <w:tab/>
            </w:r>
            <w:r w:rsidR="00D5474C" w:rsidRPr="00C751B0">
              <w:rPr>
                <w:rStyle w:val="Hyperlink"/>
                <w:noProof/>
              </w:rPr>
              <w:t>NSW Government Electric Vehicle Fleet Charging Infrastructure Prequalification Scheme - SCM13381</w:t>
            </w:r>
            <w:r w:rsidR="00D5474C">
              <w:rPr>
                <w:noProof/>
                <w:webHidden/>
              </w:rPr>
              <w:tab/>
            </w:r>
            <w:r w:rsidR="00D5474C">
              <w:rPr>
                <w:noProof/>
                <w:webHidden/>
              </w:rPr>
              <w:fldChar w:fldCharType="begin"/>
            </w:r>
            <w:r w:rsidR="00D5474C">
              <w:rPr>
                <w:noProof/>
                <w:webHidden/>
              </w:rPr>
              <w:instrText xml:space="preserve"> PAGEREF _Toc120776894 \h </w:instrText>
            </w:r>
            <w:r w:rsidR="00D5474C">
              <w:rPr>
                <w:noProof/>
                <w:webHidden/>
              </w:rPr>
            </w:r>
            <w:r w:rsidR="00D5474C">
              <w:rPr>
                <w:noProof/>
                <w:webHidden/>
              </w:rPr>
              <w:fldChar w:fldCharType="separate"/>
            </w:r>
            <w:r w:rsidR="00D5474C">
              <w:rPr>
                <w:noProof/>
                <w:webHidden/>
              </w:rPr>
              <w:t>1</w:t>
            </w:r>
            <w:r w:rsidR="00D5474C">
              <w:rPr>
                <w:noProof/>
                <w:webHidden/>
              </w:rPr>
              <w:fldChar w:fldCharType="end"/>
            </w:r>
          </w:hyperlink>
        </w:p>
        <w:p w14:paraId="5AA8A138" w14:textId="499612B9"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895" w:history="1">
            <w:r w:rsidR="00D5474C" w:rsidRPr="00C751B0">
              <w:rPr>
                <w:rStyle w:val="Hyperlink"/>
                <w:noProof/>
              </w:rPr>
              <w:t>2</w:t>
            </w:r>
            <w:r w:rsidR="00D5474C">
              <w:rPr>
                <w:rFonts w:asciiTheme="minorHAnsi" w:eastAsiaTheme="minorEastAsia" w:hAnsiTheme="minorHAnsi"/>
                <w:b w:val="0"/>
                <w:noProof/>
                <w:lang w:eastAsia="en-AU"/>
              </w:rPr>
              <w:tab/>
            </w:r>
            <w:r w:rsidR="00D5474C" w:rsidRPr="00C751B0">
              <w:rPr>
                <w:rStyle w:val="Hyperlink"/>
                <w:noProof/>
              </w:rPr>
              <w:t>Benefits of the Scheme</w:t>
            </w:r>
            <w:r w:rsidR="00D5474C">
              <w:rPr>
                <w:noProof/>
                <w:webHidden/>
              </w:rPr>
              <w:tab/>
            </w:r>
            <w:r w:rsidR="00D5474C">
              <w:rPr>
                <w:noProof/>
                <w:webHidden/>
              </w:rPr>
              <w:fldChar w:fldCharType="begin"/>
            </w:r>
            <w:r w:rsidR="00D5474C">
              <w:rPr>
                <w:noProof/>
                <w:webHidden/>
              </w:rPr>
              <w:instrText xml:space="preserve"> PAGEREF _Toc120776895 \h </w:instrText>
            </w:r>
            <w:r w:rsidR="00D5474C">
              <w:rPr>
                <w:noProof/>
                <w:webHidden/>
              </w:rPr>
            </w:r>
            <w:r w:rsidR="00D5474C">
              <w:rPr>
                <w:noProof/>
                <w:webHidden/>
              </w:rPr>
              <w:fldChar w:fldCharType="separate"/>
            </w:r>
            <w:r w:rsidR="00D5474C">
              <w:rPr>
                <w:noProof/>
                <w:webHidden/>
              </w:rPr>
              <w:t>3</w:t>
            </w:r>
            <w:r w:rsidR="00D5474C">
              <w:rPr>
                <w:noProof/>
                <w:webHidden/>
              </w:rPr>
              <w:fldChar w:fldCharType="end"/>
            </w:r>
          </w:hyperlink>
        </w:p>
        <w:p w14:paraId="123DD137" w14:textId="5598BCB0"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896" w:history="1">
            <w:r w:rsidR="00D5474C" w:rsidRPr="00C751B0">
              <w:rPr>
                <w:rStyle w:val="Hyperlink"/>
                <w:noProof/>
              </w:rPr>
              <w:t>3</w:t>
            </w:r>
            <w:r w:rsidR="00D5474C">
              <w:rPr>
                <w:rFonts w:asciiTheme="minorHAnsi" w:eastAsiaTheme="minorEastAsia" w:hAnsiTheme="minorHAnsi"/>
                <w:b w:val="0"/>
                <w:noProof/>
                <w:lang w:eastAsia="en-AU"/>
              </w:rPr>
              <w:tab/>
            </w:r>
            <w:r w:rsidR="00D5474C" w:rsidRPr="00C751B0">
              <w:rPr>
                <w:rStyle w:val="Hyperlink"/>
                <w:noProof/>
              </w:rPr>
              <w:t>Procurement planning</w:t>
            </w:r>
            <w:r w:rsidR="00D5474C">
              <w:rPr>
                <w:noProof/>
                <w:webHidden/>
              </w:rPr>
              <w:tab/>
            </w:r>
            <w:r w:rsidR="00D5474C">
              <w:rPr>
                <w:noProof/>
                <w:webHidden/>
              </w:rPr>
              <w:fldChar w:fldCharType="begin"/>
            </w:r>
            <w:r w:rsidR="00D5474C">
              <w:rPr>
                <w:noProof/>
                <w:webHidden/>
              </w:rPr>
              <w:instrText xml:space="preserve"> PAGEREF _Toc120776896 \h </w:instrText>
            </w:r>
            <w:r w:rsidR="00D5474C">
              <w:rPr>
                <w:noProof/>
                <w:webHidden/>
              </w:rPr>
            </w:r>
            <w:r w:rsidR="00D5474C">
              <w:rPr>
                <w:noProof/>
                <w:webHidden/>
              </w:rPr>
              <w:fldChar w:fldCharType="separate"/>
            </w:r>
            <w:r w:rsidR="00D5474C">
              <w:rPr>
                <w:noProof/>
                <w:webHidden/>
              </w:rPr>
              <w:t>3</w:t>
            </w:r>
            <w:r w:rsidR="00D5474C">
              <w:rPr>
                <w:noProof/>
                <w:webHidden/>
              </w:rPr>
              <w:fldChar w:fldCharType="end"/>
            </w:r>
          </w:hyperlink>
        </w:p>
        <w:p w14:paraId="688FE5B9" w14:textId="414983B6"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897" w:history="1">
            <w:r w:rsidR="00D5474C" w:rsidRPr="00C751B0">
              <w:rPr>
                <w:rStyle w:val="Hyperlink"/>
                <w:noProof/>
              </w:rPr>
              <w:t>3.1</w:t>
            </w:r>
            <w:r w:rsidR="00D5474C">
              <w:rPr>
                <w:rFonts w:asciiTheme="minorHAnsi" w:eastAsiaTheme="minorEastAsia" w:hAnsiTheme="minorHAnsi"/>
                <w:noProof/>
                <w:lang w:eastAsia="en-AU"/>
              </w:rPr>
              <w:tab/>
            </w:r>
            <w:r w:rsidR="00D5474C" w:rsidRPr="00C751B0">
              <w:rPr>
                <w:rStyle w:val="Hyperlink"/>
                <w:noProof/>
              </w:rPr>
              <w:t>Link to NSW Government Procurement Framework</w:t>
            </w:r>
            <w:r w:rsidR="00D5474C">
              <w:rPr>
                <w:noProof/>
                <w:webHidden/>
              </w:rPr>
              <w:tab/>
            </w:r>
            <w:r w:rsidR="00D5474C">
              <w:rPr>
                <w:noProof/>
                <w:webHidden/>
              </w:rPr>
              <w:fldChar w:fldCharType="begin"/>
            </w:r>
            <w:r w:rsidR="00D5474C">
              <w:rPr>
                <w:noProof/>
                <w:webHidden/>
              </w:rPr>
              <w:instrText xml:space="preserve"> PAGEREF _Toc120776897 \h </w:instrText>
            </w:r>
            <w:r w:rsidR="00D5474C">
              <w:rPr>
                <w:noProof/>
                <w:webHidden/>
              </w:rPr>
            </w:r>
            <w:r w:rsidR="00D5474C">
              <w:rPr>
                <w:noProof/>
                <w:webHidden/>
              </w:rPr>
              <w:fldChar w:fldCharType="separate"/>
            </w:r>
            <w:r w:rsidR="00D5474C">
              <w:rPr>
                <w:noProof/>
                <w:webHidden/>
              </w:rPr>
              <w:t>3</w:t>
            </w:r>
            <w:r w:rsidR="00D5474C">
              <w:rPr>
                <w:noProof/>
                <w:webHidden/>
              </w:rPr>
              <w:fldChar w:fldCharType="end"/>
            </w:r>
          </w:hyperlink>
        </w:p>
        <w:p w14:paraId="736CD3A1" w14:textId="053953EA"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898" w:history="1">
            <w:r w:rsidR="00D5474C" w:rsidRPr="00C751B0">
              <w:rPr>
                <w:rStyle w:val="Hyperlink"/>
                <w:noProof/>
              </w:rPr>
              <w:t>3.2</w:t>
            </w:r>
            <w:r w:rsidR="00D5474C">
              <w:rPr>
                <w:rFonts w:asciiTheme="minorHAnsi" w:eastAsiaTheme="minorEastAsia" w:hAnsiTheme="minorHAnsi"/>
                <w:noProof/>
                <w:lang w:eastAsia="en-AU"/>
              </w:rPr>
              <w:tab/>
            </w:r>
            <w:r w:rsidR="00D5474C" w:rsidRPr="00C751B0">
              <w:rPr>
                <w:rStyle w:val="Hyperlink"/>
                <w:noProof/>
              </w:rPr>
              <w:t>Estimating the value of the procurement</w:t>
            </w:r>
            <w:r w:rsidR="00D5474C">
              <w:rPr>
                <w:noProof/>
                <w:webHidden/>
              </w:rPr>
              <w:tab/>
            </w:r>
            <w:r w:rsidR="00D5474C">
              <w:rPr>
                <w:noProof/>
                <w:webHidden/>
              </w:rPr>
              <w:fldChar w:fldCharType="begin"/>
            </w:r>
            <w:r w:rsidR="00D5474C">
              <w:rPr>
                <w:noProof/>
                <w:webHidden/>
              </w:rPr>
              <w:instrText xml:space="preserve"> PAGEREF _Toc120776898 \h </w:instrText>
            </w:r>
            <w:r w:rsidR="00D5474C">
              <w:rPr>
                <w:noProof/>
                <w:webHidden/>
              </w:rPr>
            </w:r>
            <w:r w:rsidR="00D5474C">
              <w:rPr>
                <w:noProof/>
                <w:webHidden/>
              </w:rPr>
              <w:fldChar w:fldCharType="separate"/>
            </w:r>
            <w:r w:rsidR="00D5474C">
              <w:rPr>
                <w:noProof/>
                <w:webHidden/>
              </w:rPr>
              <w:t>3</w:t>
            </w:r>
            <w:r w:rsidR="00D5474C">
              <w:rPr>
                <w:noProof/>
                <w:webHidden/>
              </w:rPr>
              <w:fldChar w:fldCharType="end"/>
            </w:r>
          </w:hyperlink>
        </w:p>
        <w:p w14:paraId="30FFB722" w14:textId="0671EB57"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899" w:history="1">
            <w:r w:rsidR="00D5474C" w:rsidRPr="00C751B0">
              <w:rPr>
                <w:rStyle w:val="Hyperlink"/>
                <w:noProof/>
              </w:rPr>
              <w:t>4</w:t>
            </w:r>
            <w:r w:rsidR="00D5474C">
              <w:rPr>
                <w:rFonts w:asciiTheme="minorHAnsi" w:eastAsiaTheme="minorEastAsia" w:hAnsiTheme="minorHAnsi"/>
                <w:b w:val="0"/>
                <w:noProof/>
                <w:lang w:eastAsia="en-AU"/>
              </w:rPr>
              <w:tab/>
            </w:r>
            <w:r w:rsidR="00D5474C" w:rsidRPr="00C751B0">
              <w:rPr>
                <w:rStyle w:val="Hyperlink"/>
                <w:noProof/>
              </w:rPr>
              <w:t>Work Category</w:t>
            </w:r>
            <w:r w:rsidR="00D5474C">
              <w:rPr>
                <w:noProof/>
                <w:webHidden/>
              </w:rPr>
              <w:tab/>
            </w:r>
            <w:r w:rsidR="00D5474C">
              <w:rPr>
                <w:noProof/>
                <w:webHidden/>
              </w:rPr>
              <w:fldChar w:fldCharType="begin"/>
            </w:r>
            <w:r w:rsidR="00D5474C">
              <w:rPr>
                <w:noProof/>
                <w:webHidden/>
              </w:rPr>
              <w:instrText xml:space="preserve"> PAGEREF _Toc120776899 \h </w:instrText>
            </w:r>
            <w:r w:rsidR="00D5474C">
              <w:rPr>
                <w:noProof/>
                <w:webHidden/>
              </w:rPr>
            </w:r>
            <w:r w:rsidR="00D5474C">
              <w:rPr>
                <w:noProof/>
                <w:webHidden/>
              </w:rPr>
              <w:fldChar w:fldCharType="separate"/>
            </w:r>
            <w:r w:rsidR="00D5474C">
              <w:rPr>
                <w:noProof/>
                <w:webHidden/>
              </w:rPr>
              <w:t>4</w:t>
            </w:r>
            <w:r w:rsidR="00D5474C">
              <w:rPr>
                <w:noProof/>
                <w:webHidden/>
              </w:rPr>
              <w:fldChar w:fldCharType="end"/>
            </w:r>
          </w:hyperlink>
        </w:p>
        <w:p w14:paraId="5D215FB4" w14:textId="6C319F97"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0" w:history="1">
            <w:r w:rsidR="00D5474C" w:rsidRPr="00C751B0">
              <w:rPr>
                <w:rStyle w:val="Hyperlink"/>
                <w:noProof/>
              </w:rPr>
              <w:t>4.1</w:t>
            </w:r>
            <w:r w:rsidR="00D5474C">
              <w:rPr>
                <w:rFonts w:asciiTheme="minorHAnsi" w:eastAsiaTheme="minorEastAsia" w:hAnsiTheme="minorHAnsi"/>
                <w:noProof/>
                <w:lang w:eastAsia="en-AU"/>
              </w:rPr>
              <w:tab/>
            </w:r>
            <w:r w:rsidR="00D5474C" w:rsidRPr="00C751B0">
              <w:rPr>
                <w:rStyle w:val="Hyperlink"/>
                <w:noProof/>
              </w:rPr>
              <w:t>Capability A – Electric Vehicle Supply Equipment (EVSE) Goods, Works and Services</w:t>
            </w:r>
            <w:r w:rsidR="00D5474C">
              <w:rPr>
                <w:noProof/>
                <w:webHidden/>
              </w:rPr>
              <w:tab/>
            </w:r>
            <w:r w:rsidR="00D5474C">
              <w:rPr>
                <w:noProof/>
                <w:webHidden/>
              </w:rPr>
              <w:fldChar w:fldCharType="begin"/>
            </w:r>
            <w:r w:rsidR="00D5474C">
              <w:rPr>
                <w:noProof/>
                <w:webHidden/>
              </w:rPr>
              <w:instrText xml:space="preserve"> PAGEREF _Toc120776900 \h </w:instrText>
            </w:r>
            <w:r w:rsidR="00D5474C">
              <w:rPr>
                <w:noProof/>
                <w:webHidden/>
              </w:rPr>
            </w:r>
            <w:r w:rsidR="00D5474C">
              <w:rPr>
                <w:noProof/>
                <w:webHidden/>
              </w:rPr>
              <w:fldChar w:fldCharType="separate"/>
            </w:r>
            <w:r w:rsidR="00D5474C">
              <w:rPr>
                <w:noProof/>
                <w:webHidden/>
              </w:rPr>
              <w:t>4</w:t>
            </w:r>
            <w:r w:rsidR="00D5474C">
              <w:rPr>
                <w:noProof/>
                <w:webHidden/>
              </w:rPr>
              <w:fldChar w:fldCharType="end"/>
            </w:r>
          </w:hyperlink>
        </w:p>
        <w:p w14:paraId="646159C0" w14:textId="67DE27D8"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901" w:history="1">
            <w:r w:rsidR="00D5474C" w:rsidRPr="00C751B0">
              <w:rPr>
                <w:rStyle w:val="Hyperlink"/>
                <w:noProof/>
              </w:rPr>
              <w:t>5</w:t>
            </w:r>
            <w:r w:rsidR="00D5474C">
              <w:rPr>
                <w:rFonts w:asciiTheme="minorHAnsi" w:eastAsiaTheme="minorEastAsia" w:hAnsiTheme="minorHAnsi"/>
                <w:b w:val="0"/>
                <w:noProof/>
                <w:lang w:eastAsia="en-AU"/>
              </w:rPr>
              <w:tab/>
            </w:r>
            <w:r w:rsidR="00D5474C" w:rsidRPr="00C751B0">
              <w:rPr>
                <w:rStyle w:val="Hyperlink"/>
                <w:noProof/>
              </w:rPr>
              <w:t>Using the Scheme</w:t>
            </w:r>
            <w:r w:rsidR="00D5474C">
              <w:rPr>
                <w:noProof/>
                <w:webHidden/>
              </w:rPr>
              <w:tab/>
            </w:r>
            <w:r w:rsidR="00D5474C">
              <w:rPr>
                <w:noProof/>
                <w:webHidden/>
              </w:rPr>
              <w:fldChar w:fldCharType="begin"/>
            </w:r>
            <w:r w:rsidR="00D5474C">
              <w:rPr>
                <w:noProof/>
                <w:webHidden/>
              </w:rPr>
              <w:instrText xml:space="preserve"> PAGEREF _Toc120776901 \h </w:instrText>
            </w:r>
            <w:r w:rsidR="00D5474C">
              <w:rPr>
                <w:noProof/>
                <w:webHidden/>
              </w:rPr>
            </w:r>
            <w:r w:rsidR="00D5474C">
              <w:rPr>
                <w:noProof/>
                <w:webHidden/>
              </w:rPr>
              <w:fldChar w:fldCharType="separate"/>
            </w:r>
            <w:r w:rsidR="00D5474C">
              <w:rPr>
                <w:noProof/>
                <w:webHidden/>
              </w:rPr>
              <w:t>5</w:t>
            </w:r>
            <w:r w:rsidR="00D5474C">
              <w:rPr>
                <w:noProof/>
                <w:webHidden/>
              </w:rPr>
              <w:fldChar w:fldCharType="end"/>
            </w:r>
          </w:hyperlink>
        </w:p>
        <w:p w14:paraId="05BD0108" w14:textId="6F96CA1F"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2" w:history="1">
            <w:r w:rsidR="00D5474C" w:rsidRPr="00C751B0">
              <w:rPr>
                <w:rStyle w:val="Hyperlink"/>
                <w:noProof/>
              </w:rPr>
              <w:t>5.1</w:t>
            </w:r>
            <w:r w:rsidR="00D5474C">
              <w:rPr>
                <w:rFonts w:asciiTheme="minorHAnsi" w:eastAsiaTheme="minorEastAsia" w:hAnsiTheme="minorHAnsi"/>
                <w:noProof/>
                <w:lang w:eastAsia="en-AU"/>
              </w:rPr>
              <w:tab/>
            </w:r>
            <w:r w:rsidR="00D5474C" w:rsidRPr="00C751B0">
              <w:rPr>
                <w:rStyle w:val="Hyperlink"/>
                <w:noProof/>
              </w:rPr>
              <w:t>Suppliers who are included on the Scheme</w:t>
            </w:r>
            <w:r w:rsidR="00D5474C">
              <w:rPr>
                <w:noProof/>
                <w:webHidden/>
              </w:rPr>
              <w:tab/>
            </w:r>
            <w:r w:rsidR="00D5474C">
              <w:rPr>
                <w:noProof/>
                <w:webHidden/>
              </w:rPr>
              <w:fldChar w:fldCharType="begin"/>
            </w:r>
            <w:r w:rsidR="00D5474C">
              <w:rPr>
                <w:noProof/>
                <w:webHidden/>
              </w:rPr>
              <w:instrText xml:space="preserve"> PAGEREF _Toc120776902 \h </w:instrText>
            </w:r>
            <w:r w:rsidR="00D5474C">
              <w:rPr>
                <w:noProof/>
                <w:webHidden/>
              </w:rPr>
            </w:r>
            <w:r w:rsidR="00D5474C">
              <w:rPr>
                <w:noProof/>
                <w:webHidden/>
              </w:rPr>
              <w:fldChar w:fldCharType="separate"/>
            </w:r>
            <w:r w:rsidR="00D5474C">
              <w:rPr>
                <w:noProof/>
                <w:webHidden/>
              </w:rPr>
              <w:t>5</w:t>
            </w:r>
            <w:r w:rsidR="00D5474C">
              <w:rPr>
                <w:noProof/>
                <w:webHidden/>
              </w:rPr>
              <w:fldChar w:fldCharType="end"/>
            </w:r>
          </w:hyperlink>
        </w:p>
        <w:p w14:paraId="3EDD410F" w14:textId="2FC72D8D"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3" w:history="1">
            <w:r w:rsidR="00D5474C" w:rsidRPr="00C751B0">
              <w:rPr>
                <w:rStyle w:val="Hyperlink"/>
                <w:noProof/>
              </w:rPr>
              <w:t>5.2</w:t>
            </w:r>
            <w:r w:rsidR="00D5474C">
              <w:rPr>
                <w:rFonts w:asciiTheme="minorHAnsi" w:eastAsiaTheme="minorEastAsia" w:hAnsiTheme="minorHAnsi"/>
                <w:noProof/>
                <w:lang w:eastAsia="en-AU"/>
              </w:rPr>
              <w:tab/>
            </w:r>
            <w:r w:rsidR="00D5474C" w:rsidRPr="00C751B0">
              <w:rPr>
                <w:rStyle w:val="Hyperlink"/>
                <w:noProof/>
              </w:rPr>
              <w:t>Conditions for Prequalification on the scheme</w:t>
            </w:r>
            <w:r w:rsidR="00D5474C">
              <w:rPr>
                <w:noProof/>
                <w:webHidden/>
              </w:rPr>
              <w:tab/>
            </w:r>
            <w:r w:rsidR="00D5474C">
              <w:rPr>
                <w:noProof/>
                <w:webHidden/>
              </w:rPr>
              <w:fldChar w:fldCharType="begin"/>
            </w:r>
            <w:r w:rsidR="00D5474C">
              <w:rPr>
                <w:noProof/>
                <w:webHidden/>
              </w:rPr>
              <w:instrText xml:space="preserve"> PAGEREF _Toc120776903 \h </w:instrText>
            </w:r>
            <w:r w:rsidR="00D5474C">
              <w:rPr>
                <w:noProof/>
                <w:webHidden/>
              </w:rPr>
            </w:r>
            <w:r w:rsidR="00D5474C">
              <w:rPr>
                <w:noProof/>
                <w:webHidden/>
              </w:rPr>
              <w:fldChar w:fldCharType="separate"/>
            </w:r>
            <w:r w:rsidR="00D5474C">
              <w:rPr>
                <w:noProof/>
                <w:webHidden/>
              </w:rPr>
              <w:t>5</w:t>
            </w:r>
            <w:r w:rsidR="00D5474C">
              <w:rPr>
                <w:noProof/>
                <w:webHidden/>
              </w:rPr>
              <w:fldChar w:fldCharType="end"/>
            </w:r>
          </w:hyperlink>
        </w:p>
        <w:p w14:paraId="4915BC48" w14:textId="4FE15B86"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904" w:history="1">
            <w:r w:rsidR="00D5474C" w:rsidRPr="00C751B0">
              <w:rPr>
                <w:rStyle w:val="Hyperlink"/>
                <w:noProof/>
              </w:rPr>
              <w:t>6</w:t>
            </w:r>
            <w:r w:rsidR="00D5474C">
              <w:rPr>
                <w:rFonts w:asciiTheme="minorHAnsi" w:eastAsiaTheme="minorEastAsia" w:hAnsiTheme="minorHAnsi"/>
                <w:b w:val="0"/>
                <w:noProof/>
                <w:lang w:eastAsia="en-AU"/>
              </w:rPr>
              <w:tab/>
            </w:r>
            <w:r w:rsidR="00D5474C" w:rsidRPr="00C751B0">
              <w:rPr>
                <w:rStyle w:val="Hyperlink"/>
                <w:noProof/>
              </w:rPr>
              <w:t>Inviting submissions from Suppliers</w:t>
            </w:r>
            <w:r w:rsidR="00D5474C">
              <w:rPr>
                <w:noProof/>
                <w:webHidden/>
              </w:rPr>
              <w:tab/>
            </w:r>
            <w:r w:rsidR="00D5474C">
              <w:rPr>
                <w:noProof/>
                <w:webHidden/>
              </w:rPr>
              <w:fldChar w:fldCharType="begin"/>
            </w:r>
            <w:r w:rsidR="00D5474C">
              <w:rPr>
                <w:noProof/>
                <w:webHidden/>
              </w:rPr>
              <w:instrText xml:space="preserve"> PAGEREF _Toc120776904 \h </w:instrText>
            </w:r>
            <w:r w:rsidR="00D5474C">
              <w:rPr>
                <w:noProof/>
                <w:webHidden/>
              </w:rPr>
            </w:r>
            <w:r w:rsidR="00D5474C">
              <w:rPr>
                <w:noProof/>
                <w:webHidden/>
              </w:rPr>
              <w:fldChar w:fldCharType="separate"/>
            </w:r>
            <w:r w:rsidR="00D5474C">
              <w:rPr>
                <w:noProof/>
                <w:webHidden/>
              </w:rPr>
              <w:t>7</w:t>
            </w:r>
            <w:r w:rsidR="00D5474C">
              <w:rPr>
                <w:noProof/>
                <w:webHidden/>
              </w:rPr>
              <w:fldChar w:fldCharType="end"/>
            </w:r>
          </w:hyperlink>
        </w:p>
        <w:p w14:paraId="61E4FC35" w14:textId="7718BB92"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5" w:history="1">
            <w:r w:rsidR="00D5474C" w:rsidRPr="00C751B0">
              <w:rPr>
                <w:rStyle w:val="Hyperlink"/>
                <w:noProof/>
              </w:rPr>
              <w:t>6.1</w:t>
            </w:r>
            <w:r w:rsidR="00D5474C">
              <w:rPr>
                <w:rFonts w:asciiTheme="minorHAnsi" w:eastAsiaTheme="minorEastAsia" w:hAnsiTheme="minorHAnsi"/>
                <w:noProof/>
                <w:lang w:eastAsia="en-AU"/>
              </w:rPr>
              <w:tab/>
            </w:r>
            <w:r w:rsidR="00D5474C" w:rsidRPr="00C751B0">
              <w:rPr>
                <w:rStyle w:val="Hyperlink"/>
                <w:noProof/>
              </w:rPr>
              <w:t>Market approaches guide</w:t>
            </w:r>
            <w:r w:rsidR="00D5474C">
              <w:rPr>
                <w:noProof/>
                <w:webHidden/>
              </w:rPr>
              <w:tab/>
            </w:r>
            <w:r w:rsidR="00D5474C">
              <w:rPr>
                <w:noProof/>
                <w:webHidden/>
              </w:rPr>
              <w:fldChar w:fldCharType="begin"/>
            </w:r>
            <w:r w:rsidR="00D5474C">
              <w:rPr>
                <w:noProof/>
                <w:webHidden/>
              </w:rPr>
              <w:instrText xml:space="preserve"> PAGEREF _Toc120776905 \h </w:instrText>
            </w:r>
            <w:r w:rsidR="00D5474C">
              <w:rPr>
                <w:noProof/>
                <w:webHidden/>
              </w:rPr>
            </w:r>
            <w:r w:rsidR="00D5474C">
              <w:rPr>
                <w:noProof/>
                <w:webHidden/>
              </w:rPr>
              <w:fldChar w:fldCharType="separate"/>
            </w:r>
            <w:r w:rsidR="00D5474C">
              <w:rPr>
                <w:noProof/>
                <w:webHidden/>
              </w:rPr>
              <w:t>7</w:t>
            </w:r>
            <w:r w:rsidR="00D5474C">
              <w:rPr>
                <w:noProof/>
                <w:webHidden/>
              </w:rPr>
              <w:fldChar w:fldCharType="end"/>
            </w:r>
          </w:hyperlink>
        </w:p>
        <w:p w14:paraId="28AC663B" w14:textId="687DFBBA"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6" w:history="1">
            <w:r w:rsidR="00D5474C" w:rsidRPr="00C751B0">
              <w:rPr>
                <w:rStyle w:val="Hyperlink"/>
                <w:noProof/>
              </w:rPr>
              <w:t>6.2</w:t>
            </w:r>
            <w:r w:rsidR="00D5474C">
              <w:rPr>
                <w:rFonts w:asciiTheme="minorHAnsi" w:eastAsiaTheme="minorEastAsia" w:hAnsiTheme="minorHAnsi"/>
                <w:noProof/>
                <w:lang w:eastAsia="en-AU"/>
              </w:rPr>
              <w:tab/>
            </w:r>
            <w:r w:rsidR="00D5474C" w:rsidRPr="00C751B0">
              <w:rPr>
                <w:rStyle w:val="Hyperlink"/>
                <w:noProof/>
              </w:rPr>
              <w:t>Tendering rules</w:t>
            </w:r>
            <w:r w:rsidR="00D5474C">
              <w:rPr>
                <w:noProof/>
                <w:webHidden/>
              </w:rPr>
              <w:tab/>
            </w:r>
            <w:r w:rsidR="00D5474C">
              <w:rPr>
                <w:noProof/>
                <w:webHidden/>
              </w:rPr>
              <w:fldChar w:fldCharType="begin"/>
            </w:r>
            <w:r w:rsidR="00D5474C">
              <w:rPr>
                <w:noProof/>
                <w:webHidden/>
              </w:rPr>
              <w:instrText xml:space="preserve"> PAGEREF _Toc120776906 \h </w:instrText>
            </w:r>
            <w:r w:rsidR="00D5474C">
              <w:rPr>
                <w:noProof/>
                <w:webHidden/>
              </w:rPr>
            </w:r>
            <w:r w:rsidR="00D5474C">
              <w:rPr>
                <w:noProof/>
                <w:webHidden/>
              </w:rPr>
              <w:fldChar w:fldCharType="separate"/>
            </w:r>
            <w:r w:rsidR="00D5474C">
              <w:rPr>
                <w:noProof/>
                <w:webHidden/>
              </w:rPr>
              <w:t>7</w:t>
            </w:r>
            <w:r w:rsidR="00D5474C">
              <w:rPr>
                <w:noProof/>
                <w:webHidden/>
              </w:rPr>
              <w:fldChar w:fldCharType="end"/>
            </w:r>
          </w:hyperlink>
        </w:p>
        <w:p w14:paraId="78DAAB43" w14:textId="7519C9CB"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7" w:history="1">
            <w:r w:rsidR="00D5474C" w:rsidRPr="00C751B0">
              <w:rPr>
                <w:rStyle w:val="Hyperlink"/>
                <w:noProof/>
              </w:rPr>
              <w:t>6.3</w:t>
            </w:r>
            <w:r w:rsidR="00D5474C">
              <w:rPr>
                <w:rFonts w:asciiTheme="minorHAnsi" w:eastAsiaTheme="minorEastAsia" w:hAnsiTheme="minorHAnsi"/>
                <w:noProof/>
                <w:lang w:eastAsia="en-AU"/>
              </w:rPr>
              <w:tab/>
            </w:r>
            <w:r w:rsidR="00D5474C" w:rsidRPr="00C751B0">
              <w:rPr>
                <w:rStyle w:val="Hyperlink"/>
                <w:noProof/>
              </w:rPr>
              <w:t>eTendering</w:t>
            </w:r>
            <w:r w:rsidR="00D5474C">
              <w:rPr>
                <w:noProof/>
                <w:webHidden/>
              </w:rPr>
              <w:tab/>
            </w:r>
            <w:r w:rsidR="00D5474C">
              <w:rPr>
                <w:noProof/>
                <w:webHidden/>
              </w:rPr>
              <w:fldChar w:fldCharType="begin"/>
            </w:r>
            <w:r w:rsidR="00D5474C">
              <w:rPr>
                <w:noProof/>
                <w:webHidden/>
              </w:rPr>
              <w:instrText xml:space="preserve"> PAGEREF _Toc120776907 \h </w:instrText>
            </w:r>
            <w:r w:rsidR="00D5474C">
              <w:rPr>
                <w:noProof/>
                <w:webHidden/>
              </w:rPr>
            </w:r>
            <w:r w:rsidR="00D5474C">
              <w:rPr>
                <w:noProof/>
                <w:webHidden/>
              </w:rPr>
              <w:fldChar w:fldCharType="separate"/>
            </w:r>
            <w:r w:rsidR="00D5474C">
              <w:rPr>
                <w:noProof/>
                <w:webHidden/>
              </w:rPr>
              <w:t>8</w:t>
            </w:r>
            <w:r w:rsidR="00D5474C">
              <w:rPr>
                <w:noProof/>
                <w:webHidden/>
              </w:rPr>
              <w:fldChar w:fldCharType="end"/>
            </w:r>
          </w:hyperlink>
        </w:p>
        <w:p w14:paraId="77E934A1" w14:textId="057143D7"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8" w:history="1">
            <w:r w:rsidR="00D5474C" w:rsidRPr="00C751B0">
              <w:rPr>
                <w:rStyle w:val="Hyperlink"/>
                <w:noProof/>
              </w:rPr>
              <w:t>6.4</w:t>
            </w:r>
            <w:r w:rsidR="00D5474C">
              <w:rPr>
                <w:rFonts w:asciiTheme="minorHAnsi" w:eastAsiaTheme="minorEastAsia" w:hAnsiTheme="minorHAnsi"/>
                <w:noProof/>
                <w:lang w:eastAsia="en-AU"/>
              </w:rPr>
              <w:tab/>
            </w:r>
            <w:r w:rsidR="00D5474C" w:rsidRPr="00C751B0">
              <w:rPr>
                <w:rStyle w:val="Hyperlink"/>
                <w:noProof/>
              </w:rPr>
              <w:t>Contractual agreements</w:t>
            </w:r>
            <w:r w:rsidR="00D5474C">
              <w:rPr>
                <w:noProof/>
                <w:webHidden/>
              </w:rPr>
              <w:tab/>
            </w:r>
            <w:r w:rsidR="00D5474C">
              <w:rPr>
                <w:noProof/>
                <w:webHidden/>
              </w:rPr>
              <w:fldChar w:fldCharType="begin"/>
            </w:r>
            <w:r w:rsidR="00D5474C">
              <w:rPr>
                <w:noProof/>
                <w:webHidden/>
              </w:rPr>
              <w:instrText xml:space="preserve"> PAGEREF _Toc120776908 \h </w:instrText>
            </w:r>
            <w:r w:rsidR="00D5474C">
              <w:rPr>
                <w:noProof/>
                <w:webHidden/>
              </w:rPr>
            </w:r>
            <w:r w:rsidR="00D5474C">
              <w:rPr>
                <w:noProof/>
                <w:webHidden/>
              </w:rPr>
              <w:fldChar w:fldCharType="separate"/>
            </w:r>
            <w:r w:rsidR="00D5474C">
              <w:rPr>
                <w:noProof/>
                <w:webHidden/>
              </w:rPr>
              <w:t>8</w:t>
            </w:r>
            <w:r w:rsidR="00D5474C">
              <w:rPr>
                <w:noProof/>
                <w:webHidden/>
              </w:rPr>
              <w:fldChar w:fldCharType="end"/>
            </w:r>
          </w:hyperlink>
        </w:p>
        <w:p w14:paraId="4894F81A" w14:textId="010A7FF1"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09" w:history="1">
            <w:r w:rsidR="00D5474C" w:rsidRPr="00C751B0">
              <w:rPr>
                <w:rStyle w:val="Hyperlink"/>
                <w:noProof/>
              </w:rPr>
              <w:t>6.5</w:t>
            </w:r>
            <w:r w:rsidR="00D5474C">
              <w:rPr>
                <w:rFonts w:asciiTheme="minorHAnsi" w:eastAsiaTheme="minorEastAsia" w:hAnsiTheme="minorHAnsi"/>
                <w:noProof/>
                <w:lang w:eastAsia="en-AU"/>
              </w:rPr>
              <w:tab/>
            </w:r>
            <w:r w:rsidR="00D5474C" w:rsidRPr="00C751B0">
              <w:rPr>
                <w:rStyle w:val="Hyperlink"/>
                <w:noProof/>
              </w:rPr>
              <w:t>Trusts and trustees</w:t>
            </w:r>
            <w:r w:rsidR="00D5474C">
              <w:rPr>
                <w:noProof/>
                <w:webHidden/>
              </w:rPr>
              <w:tab/>
            </w:r>
            <w:r w:rsidR="00D5474C">
              <w:rPr>
                <w:noProof/>
                <w:webHidden/>
              </w:rPr>
              <w:fldChar w:fldCharType="begin"/>
            </w:r>
            <w:r w:rsidR="00D5474C">
              <w:rPr>
                <w:noProof/>
                <w:webHidden/>
              </w:rPr>
              <w:instrText xml:space="preserve"> PAGEREF _Toc120776909 \h </w:instrText>
            </w:r>
            <w:r w:rsidR="00D5474C">
              <w:rPr>
                <w:noProof/>
                <w:webHidden/>
              </w:rPr>
            </w:r>
            <w:r w:rsidR="00D5474C">
              <w:rPr>
                <w:noProof/>
                <w:webHidden/>
              </w:rPr>
              <w:fldChar w:fldCharType="separate"/>
            </w:r>
            <w:r w:rsidR="00D5474C">
              <w:rPr>
                <w:noProof/>
                <w:webHidden/>
              </w:rPr>
              <w:t>8</w:t>
            </w:r>
            <w:r w:rsidR="00D5474C">
              <w:rPr>
                <w:noProof/>
                <w:webHidden/>
              </w:rPr>
              <w:fldChar w:fldCharType="end"/>
            </w:r>
          </w:hyperlink>
        </w:p>
        <w:p w14:paraId="15FEE1C7" w14:textId="6F001D2B"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910" w:history="1">
            <w:r w:rsidR="00D5474C" w:rsidRPr="00C751B0">
              <w:rPr>
                <w:rStyle w:val="Hyperlink"/>
                <w:noProof/>
              </w:rPr>
              <w:t>7</w:t>
            </w:r>
            <w:r w:rsidR="00D5474C">
              <w:rPr>
                <w:rFonts w:asciiTheme="minorHAnsi" w:eastAsiaTheme="minorEastAsia" w:hAnsiTheme="minorHAnsi"/>
                <w:b w:val="0"/>
                <w:noProof/>
                <w:lang w:eastAsia="en-AU"/>
              </w:rPr>
              <w:tab/>
            </w:r>
            <w:r w:rsidR="00D5474C" w:rsidRPr="00C751B0">
              <w:rPr>
                <w:rStyle w:val="Hyperlink"/>
                <w:noProof/>
              </w:rPr>
              <w:t>Contractor Performance Management</w:t>
            </w:r>
            <w:r w:rsidR="00D5474C">
              <w:rPr>
                <w:noProof/>
                <w:webHidden/>
              </w:rPr>
              <w:tab/>
            </w:r>
            <w:r w:rsidR="00D5474C">
              <w:rPr>
                <w:noProof/>
                <w:webHidden/>
              </w:rPr>
              <w:fldChar w:fldCharType="begin"/>
            </w:r>
            <w:r w:rsidR="00D5474C">
              <w:rPr>
                <w:noProof/>
                <w:webHidden/>
              </w:rPr>
              <w:instrText xml:space="preserve"> PAGEREF _Toc120776910 \h </w:instrText>
            </w:r>
            <w:r w:rsidR="00D5474C">
              <w:rPr>
                <w:noProof/>
                <w:webHidden/>
              </w:rPr>
            </w:r>
            <w:r w:rsidR="00D5474C">
              <w:rPr>
                <w:noProof/>
                <w:webHidden/>
              </w:rPr>
              <w:fldChar w:fldCharType="separate"/>
            </w:r>
            <w:r w:rsidR="00D5474C">
              <w:rPr>
                <w:noProof/>
                <w:webHidden/>
              </w:rPr>
              <w:t>8</w:t>
            </w:r>
            <w:r w:rsidR="00D5474C">
              <w:rPr>
                <w:noProof/>
                <w:webHidden/>
              </w:rPr>
              <w:fldChar w:fldCharType="end"/>
            </w:r>
          </w:hyperlink>
        </w:p>
        <w:p w14:paraId="6E284B15" w14:textId="059BA5E2"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911" w:history="1">
            <w:r w:rsidR="00D5474C" w:rsidRPr="00C751B0">
              <w:rPr>
                <w:rStyle w:val="Hyperlink"/>
                <w:noProof/>
              </w:rPr>
              <w:t>8</w:t>
            </w:r>
            <w:r w:rsidR="00D5474C">
              <w:rPr>
                <w:rFonts w:asciiTheme="minorHAnsi" w:eastAsiaTheme="minorEastAsia" w:hAnsiTheme="minorHAnsi"/>
                <w:b w:val="0"/>
                <w:noProof/>
                <w:lang w:eastAsia="en-AU"/>
              </w:rPr>
              <w:tab/>
            </w:r>
            <w:r w:rsidR="00D5474C" w:rsidRPr="00C751B0">
              <w:rPr>
                <w:rStyle w:val="Hyperlink"/>
                <w:noProof/>
              </w:rPr>
              <w:t>Review and Development of the Scheme</w:t>
            </w:r>
            <w:r w:rsidR="00D5474C">
              <w:rPr>
                <w:noProof/>
                <w:webHidden/>
              </w:rPr>
              <w:tab/>
            </w:r>
            <w:r w:rsidR="00D5474C">
              <w:rPr>
                <w:noProof/>
                <w:webHidden/>
              </w:rPr>
              <w:fldChar w:fldCharType="begin"/>
            </w:r>
            <w:r w:rsidR="00D5474C">
              <w:rPr>
                <w:noProof/>
                <w:webHidden/>
              </w:rPr>
              <w:instrText xml:space="preserve"> PAGEREF _Toc120776911 \h </w:instrText>
            </w:r>
            <w:r w:rsidR="00D5474C">
              <w:rPr>
                <w:noProof/>
                <w:webHidden/>
              </w:rPr>
            </w:r>
            <w:r w:rsidR="00D5474C">
              <w:rPr>
                <w:noProof/>
                <w:webHidden/>
              </w:rPr>
              <w:fldChar w:fldCharType="separate"/>
            </w:r>
            <w:r w:rsidR="00D5474C">
              <w:rPr>
                <w:noProof/>
                <w:webHidden/>
              </w:rPr>
              <w:t>10</w:t>
            </w:r>
            <w:r w:rsidR="00D5474C">
              <w:rPr>
                <w:noProof/>
                <w:webHidden/>
              </w:rPr>
              <w:fldChar w:fldCharType="end"/>
            </w:r>
          </w:hyperlink>
        </w:p>
        <w:p w14:paraId="1AD562E3" w14:textId="5B6BE82E" w:rsidR="00D5474C" w:rsidRDefault="00807A31">
          <w:pPr>
            <w:pStyle w:val="TOC1"/>
            <w:tabs>
              <w:tab w:val="left" w:pos="440"/>
              <w:tab w:val="right" w:leader="dot" w:pos="9628"/>
            </w:tabs>
            <w:rPr>
              <w:rFonts w:asciiTheme="minorHAnsi" w:eastAsiaTheme="minorEastAsia" w:hAnsiTheme="minorHAnsi"/>
              <w:b w:val="0"/>
              <w:noProof/>
              <w:lang w:eastAsia="en-AU"/>
            </w:rPr>
          </w:pPr>
          <w:hyperlink w:anchor="_Toc120776912" w:history="1">
            <w:r w:rsidR="00D5474C" w:rsidRPr="00C751B0">
              <w:rPr>
                <w:rStyle w:val="Hyperlink"/>
                <w:noProof/>
              </w:rPr>
              <w:t>9</w:t>
            </w:r>
            <w:r w:rsidR="00D5474C">
              <w:rPr>
                <w:rFonts w:asciiTheme="minorHAnsi" w:eastAsiaTheme="minorEastAsia" w:hAnsiTheme="minorHAnsi"/>
                <w:b w:val="0"/>
                <w:noProof/>
                <w:lang w:eastAsia="en-AU"/>
              </w:rPr>
              <w:tab/>
            </w:r>
            <w:r w:rsidR="00D5474C" w:rsidRPr="00C751B0">
              <w:rPr>
                <w:rStyle w:val="Hyperlink"/>
                <w:noProof/>
              </w:rPr>
              <w:t>NSW Procurement Policy Framework</w:t>
            </w:r>
            <w:r w:rsidR="00D5474C">
              <w:rPr>
                <w:noProof/>
                <w:webHidden/>
              </w:rPr>
              <w:tab/>
            </w:r>
            <w:r w:rsidR="00D5474C">
              <w:rPr>
                <w:noProof/>
                <w:webHidden/>
              </w:rPr>
              <w:fldChar w:fldCharType="begin"/>
            </w:r>
            <w:r w:rsidR="00D5474C">
              <w:rPr>
                <w:noProof/>
                <w:webHidden/>
              </w:rPr>
              <w:instrText xml:space="preserve"> PAGEREF _Toc120776912 \h </w:instrText>
            </w:r>
            <w:r w:rsidR="00D5474C">
              <w:rPr>
                <w:noProof/>
                <w:webHidden/>
              </w:rPr>
            </w:r>
            <w:r w:rsidR="00D5474C">
              <w:rPr>
                <w:noProof/>
                <w:webHidden/>
              </w:rPr>
              <w:fldChar w:fldCharType="separate"/>
            </w:r>
            <w:r w:rsidR="00D5474C">
              <w:rPr>
                <w:noProof/>
                <w:webHidden/>
              </w:rPr>
              <w:t>10</w:t>
            </w:r>
            <w:r w:rsidR="00D5474C">
              <w:rPr>
                <w:noProof/>
                <w:webHidden/>
              </w:rPr>
              <w:fldChar w:fldCharType="end"/>
            </w:r>
          </w:hyperlink>
        </w:p>
        <w:p w14:paraId="073F547E" w14:textId="616FE16F"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3" w:history="1">
            <w:r w:rsidR="00D5474C" w:rsidRPr="00C751B0">
              <w:rPr>
                <w:rStyle w:val="Hyperlink"/>
                <w:noProof/>
              </w:rPr>
              <w:t>9.1</w:t>
            </w:r>
            <w:r w:rsidR="00D5474C">
              <w:rPr>
                <w:rFonts w:asciiTheme="minorHAnsi" w:eastAsiaTheme="minorEastAsia" w:hAnsiTheme="minorHAnsi"/>
                <w:noProof/>
                <w:lang w:eastAsia="en-AU"/>
              </w:rPr>
              <w:tab/>
            </w:r>
            <w:r w:rsidR="00D5474C" w:rsidRPr="00C751B0">
              <w:rPr>
                <w:rStyle w:val="Hyperlink"/>
                <w:noProof/>
              </w:rPr>
              <w:t>Procurement Board Directions</w:t>
            </w:r>
            <w:r w:rsidR="00D5474C">
              <w:rPr>
                <w:noProof/>
                <w:webHidden/>
              </w:rPr>
              <w:tab/>
            </w:r>
            <w:r w:rsidR="00D5474C">
              <w:rPr>
                <w:noProof/>
                <w:webHidden/>
              </w:rPr>
              <w:fldChar w:fldCharType="begin"/>
            </w:r>
            <w:r w:rsidR="00D5474C">
              <w:rPr>
                <w:noProof/>
                <w:webHidden/>
              </w:rPr>
              <w:instrText xml:space="preserve"> PAGEREF _Toc120776913 \h </w:instrText>
            </w:r>
            <w:r w:rsidR="00D5474C">
              <w:rPr>
                <w:noProof/>
                <w:webHidden/>
              </w:rPr>
            </w:r>
            <w:r w:rsidR="00D5474C">
              <w:rPr>
                <w:noProof/>
                <w:webHidden/>
              </w:rPr>
              <w:fldChar w:fldCharType="separate"/>
            </w:r>
            <w:r w:rsidR="00D5474C">
              <w:rPr>
                <w:noProof/>
                <w:webHidden/>
              </w:rPr>
              <w:t>10</w:t>
            </w:r>
            <w:r w:rsidR="00D5474C">
              <w:rPr>
                <w:noProof/>
                <w:webHidden/>
              </w:rPr>
              <w:fldChar w:fldCharType="end"/>
            </w:r>
          </w:hyperlink>
        </w:p>
        <w:p w14:paraId="239917D4" w14:textId="2F91A2EB"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4" w:history="1">
            <w:r w:rsidR="00D5474C" w:rsidRPr="00C751B0">
              <w:rPr>
                <w:rStyle w:val="Hyperlink"/>
                <w:noProof/>
              </w:rPr>
              <w:t>9.2</w:t>
            </w:r>
            <w:r w:rsidR="00D5474C">
              <w:rPr>
                <w:rFonts w:asciiTheme="minorHAnsi" w:eastAsiaTheme="minorEastAsia" w:hAnsiTheme="minorHAnsi"/>
                <w:noProof/>
                <w:lang w:eastAsia="en-AU"/>
              </w:rPr>
              <w:tab/>
            </w:r>
            <w:r w:rsidR="00D5474C" w:rsidRPr="00C751B0">
              <w:rPr>
                <w:rStyle w:val="Hyperlink"/>
                <w:noProof/>
              </w:rPr>
              <w:t>Enforceable Procurement Provisions</w:t>
            </w:r>
            <w:r w:rsidR="00D5474C">
              <w:rPr>
                <w:noProof/>
                <w:webHidden/>
              </w:rPr>
              <w:tab/>
            </w:r>
            <w:r w:rsidR="00D5474C">
              <w:rPr>
                <w:noProof/>
                <w:webHidden/>
              </w:rPr>
              <w:fldChar w:fldCharType="begin"/>
            </w:r>
            <w:r w:rsidR="00D5474C">
              <w:rPr>
                <w:noProof/>
                <w:webHidden/>
              </w:rPr>
              <w:instrText xml:space="preserve"> PAGEREF _Toc120776914 \h </w:instrText>
            </w:r>
            <w:r w:rsidR="00D5474C">
              <w:rPr>
                <w:noProof/>
                <w:webHidden/>
              </w:rPr>
            </w:r>
            <w:r w:rsidR="00D5474C">
              <w:rPr>
                <w:noProof/>
                <w:webHidden/>
              </w:rPr>
              <w:fldChar w:fldCharType="separate"/>
            </w:r>
            <w:r w:rsidR="00D5474C">
              <w:rPr>
                <w:noProof/>
                <w:webHidden/>
              </w:rPr>
              <w:t>10</w:t>
            </w:r>
            <w:r w:rsidR="00D5474C">
              <w:rPr>
                <w:noProof/>
                <w:webHidden/>
              </w:rPr>
              <w:fldChar w:fldCharType="end"/>
            </w:r>
          </w:hyperlink>
        </w:p>
        <w:p w14:paraId="4333E061" w14:textId="407B3262"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5" w:history="1">
            <w:r w:rsidR="00D5474C" w:rsidRPr="00C751B0">
              <w:rPr>
                <w:rStyle w:val="Hyperlink"/>
                <w:noProof/>
              </w:rPr>
              <w:t>9.3</w:t>
            </w:r>
            <w:r w:rsidR="00D5474C">
              <w:rPr>
                <w:rFonts w:asciiTheme="minorHAnsi" w:eastAsiaTheme="minorEastAsia" w:hAnsiTheme="minorHAnsi"/>
                <w:noProof/>
                <w:lang w:eastAsia="en-AU"/>
              </w:rPr>
              <w:tab/>
            </w:r>
            <w:r w:rsidR="00D5474C" w:rsidRPr="00C751B0">
              <w:rPr>
                <w:rStyle w:val="Hyperlink"/>
                <w:noProof/>
              </w:rPr>
              <w:t>NSW Government Supplier Code of Conduct</w:t>
            </w:r>
            <w:r w:rsidR="00D5474C">
              <w:rPr>
                <w:noProof/>
                <w:webHidden/>
              </w:rPr>
              <w:tab/>
            </w:r>
            <w:r w:rsidR="00D5474C">
              <w:rPr>
                <w:noProof/>
                <w:webHidden/>
              </w:rPr>
              <w:fldChar w:fldCharType="begin"/>
            </w:r>
            <w:r w:rsidR="00D5474C">
              <w:rPr>
                <w:noProof/>
                <w:webHidden/>
              </w:rPr>
              <w:instrText xml:space="preserve"> PAGEREF _Toc120776915 \h </w:instrText>
            </w:r>
            <w:r w:rsidR="00D5474C">
              <w:rPr>
                <w:noProof/>
                <w:webHidden/>
              </w:rPr>
            </w:r>
            <w:r w:rsidR="00D5474C">
              <w:rPr>
                <w:noProof/>
                <w:webHidden/>
              </w:rPr>
              <w:fldChar w:fldCharType="separate"/>
            </w:r>
            <w:r w:rsidR="00D5474C">
              <w:rPr>
                <w:noProof/>
                <w:webHidden/>
              </w:rPr>
              <w:t>10</w:t>
            </w:r>
            <w:r w:rsidR="00D5474C">
              <w:rPr>
                <w:noProof/>
                <w:webHidden/>
              </w:rPr>
              <w:fldChar w:fldCharType="end"/>
            </w:r>
          </w:hyperlink>
        </w:p>
        <w:p w14:paraId="3833C434" w14:textId="16E9191B"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6" w:history="1">
            <w:r w:rsidR="00D5474C" w:rsidRPr="00C751B0">
              <w:rPr>
                <w:rStyle w:val="Hyperlink"/>
                <w:noProof/>
              </w:rPr>
              <w:t>9.4</w:t>
            </w:r>
            <w:r w:rsidR="00D5474C">
              <w:rPr>
                <w:rFonts w:asciiTheme="minorHAnsi" w:eastAsiaTheme="minorEastAsia" w:hAnsiTheme="minorHAnsi"/>
                <w:noProof/>
                <w:lang w:eastAsia="en-AU"/>
              </w:rPr>
              <w:tab/>
            </w:r>
            <w:r w:rsidR="00D5474C" w:rsidRPr="00C751B0">
              <w:rPr>
                <w:rStyle w:val="Hyperlink"/>
                <w:noProof/>
              </w:rPr>
              <w:t>Small and Medium Enterprise (SME) and Regional Procurement</w:t>
            </w:r>
            <w:r w:rsidR="00D5474C">
              <w:rPr>
                <w:noProof/>
                <w:webHidden/>
              </w:rPr>
              <w:tab/>
            </w:r>
            <w:r w:rsidR="00D5474C">
              <w:rPr>
                <w:noProof/>
                <w:webHidden/>
              </w:rPr>
              <w:fldChar w:fldCharType="begin"/>
            </w:r>
            <w:r w:rsidR="00D5474C">
              <w:rPr>
                <w:noProof/>
                <w:webHidden/>
              </w:rPr>
              <w:instrText xml:space="preserve"> PAGEREF _Toc120776916 \h </w:instrText>
            </w:r>
            <w:r w:rsidR="00D5474C">
              <w:rPr>
                <w:noProof/>
                <w:webHidden/>
              </w:rPr>
            </w:r>
            <w:r w:rsidR="00D5474C">
              <w:rPr>
                <w:noProof/>
                <w:webHidden/>
              </w:rPr>
              <w:fldChar w:fldCharType="separate"/>
            </w:r>
            <w:r w:rsidR="00D5474C">
              <w:rPr>
                <w:noProof/>
                <w:webHidden/>
              </w:rPr>
              <w:t>11</w:t>
            </w:r>
            <w:r w:rsidR="00D5474C">
              <w:rPr>
                <w:noProof/>
                <w:webHidden/>
              </w:rPr>
              <w:fldChar w:fldCharType="end"/>
            </w:r>
          </w:hyperlink>
        </w:p>
        <w:p w14:paraId="34FAC600" w14:textId="46E0A40E"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7" w:history="1">
            <w:r w:rsidR="00D5474C" w:rsidRPr="00C751B0">
              <w:rPr>
                <w:rStyle w:val="Hyperlink"/>
                <w:noProof/>
              </w:rPr>
              <w:t>9.5</w:t>
            </w:r>
            <w:r w:rsidR="00D5474C">
              <w:rPr>
                <w:rFonts w:asciiTheme="minorHAnsi" w:eastAsiaTheme="minorEastAsia" w:hAnsiTheme="minorHAnsi"/>
                <w:noProof/>
                <w:lang w:eastAsia="en-AU"/>
              </w:rPr>
              <w:tab/>
            </w:r>
            <w:r w:rsidR="00D5474C" w:rsidRPr="00C751B0">
              <w:rPr>
                <w:rStyle w:val="Hyperlink"/>
                <w:noProof/>
              </w:rPr>
              <w:t>Aboriginal Procurement</w:t>
            </w:r>
            <w:r w:rsidR="00D5474C" w:rsidRPr="00C751B0">
              <w:rPr>
                <w:rStyle w:val="Hyperlink"/>
                <w:rFonts w:ascii="Montserrat" w:hAnsi="Montserrat"/>
                <w:noProof/>
                <w:shd w:val="clear" w:color="auto" w:fill="F5F5F5"/>
              </w:rPr>
              <w:t xml:space="preserve"> </w:t>
            </w:r>
            <w:r w:rsidR="00D5474C" w:rsidRPr="00C751B0">
              <w:rPr>
                <w:rStyle w:val="Hyperlink"/>
                <w:noProof/>
              </w:rPr>
              <w:t>Policy (APP)</w:t>
            </w:r>
            <w:r w:rsidR="00D5474C">
              <w:rPr>
                <w:noProof/>
                <w:webHidden/>
              </w:rPr>
              <w:tab/>
            </w:r>
            <w:r w:rsidR="00D5474C">
              <w:rPr>
                <w:noProof/>
                <w:webHidden/>
              </w:rPr>
              <w:fldChar w:fldCharType="begin"/>
            </w:r>
            <w:r w:rsidR="00D5474C">
              <w:rPr>
                <w:noProof/>
                <w:webHidden/>
              </w:rPr>
              <w:instrText xml:space="preserve"> PAGEREF _Toc120776917 \h </w:instrText>
            </w:r>
            <w:r w:rsidR="00D5474C">
              <w:rPr>
                <w:noProof/>
                <w:webHidden/>
              </w:rPr>
            </w:r>
            <w:r w:rsidR="00D5474C">
              <w:rPr>
                <w:noProof/>
                <w:webHidden/>
              </w:rPr>
              <w:fldChar w:fldCharType="separate"/>
            </w:r>
            <w:r w:rsidR="00D5474C">
              <w:rPr>
                <w:noProof/>
                <w:webHidden/>
              </w:rPr>
              <w:t>11</w:t>
            </w:r>
            <w:r w:rsidR="00D5474C">
              <w:rPr>
                <w:noProof/>
                <w:webHidden/>
              </w:rPr>
              <w:fldChar w:fldCharType="end"/>
            </w:r>
          </w:hyperlink>
        </w:p>
        <w:p w14:paraId="138AAFF1" w14:textId="61704756"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8" w:history="1">
            <w:r w:rsidR="00D5474C" w:rsidRPr="00C751B0">
              <w:rPr>
                <w:rStyle w:val="Hyperlink"/>
                <w:noProof/>
              </w:rPr>
              <w:t>9.6</w:t>
            </w:r>
            <w:r w:rsidR="00D5474C">
              <w:rPr>
                <w:rFonts w:asciiTheme="minorHAnsi" w:eastAsiaTheme="minorEastAsia" w:hAnsiTheme="minorHAnsi"/>
                <w:noProof/>
                <w:lang w:eastAsia="en-AU"/>
              </w:rPr>
              <w:tab/>
            </w:r>
            <w:r w:rsidR="00D5474C" w:rsidRPr="00C751B0">
              <w:rPr>
                <w:rStyle w:val="Hyperlink"/>
                <w:noProof/>
              </w:rPr>
              <w:t>Modern Slavery Legislation</w:t>
            </w:r>
            <w:r w:rsidR="00D5474C">
              <w:rPr>
                <w:noProof/>
                <w:webHidden/>
              </w:rPr>
              <w:tab/>
            </w:r>
            <w:r w:rsidR="00D5474C">
              <w:rPr>
                <w:noProof/>
                <w:webHidden/>
              </w:rPr>
              <w:fldChar w:fldCharType="begin"/>
            </w:r>
            <w:r w:rsidR="00D5474C">
              <w:rPr>
                <w:noProof/>
                <w:webHidden/>
              </w:rPr>
              <w:instrText xml:space="preserve"> PAGEREF _Toc120776918 \h </w:instrText>
            </w:r>
            <w:r w:rsidR="00D5474C">
              <w:rPr>
                <w:noProof/>
                <w:webHidden/>
              </w:rPr>
            </w:r>
            <w:r w:rsidR="00D5474C">
              <w:rPr>
                <w:noProof/>
                <w:webHidden/>
              </w:rPr>
              <w:fldChar w:fldCharType="separate"/>
            </w:r>
            <w:r w:rsidR="00D5474C">
              <w:rPr>
                <w:noProof/>
                <w:webHidden/>
              </w:rPr>
              <w:t>11</w:t>
            </w:r>
            <w:r w:rsidR="00D5474C">
              <w:rPr>
                <w:noProof/>
                <w:webHidden/>
              </w:rPr>
              <w:fldChar w:fldCharType="end"/>
            </w:r>
          </w:hyperlink>
        </w:p>
        <w:p w14:paraId="4A8C5E08" w14:textId="6A3A07F4" w:rsidR="00D5474C" w:rsidRDefault="00807A31">
          <w:pPr>
            <w:pStyle w:val="TOC2"/>
            <w:tabs>
              <w:tab w:val="left" w:pos="880"/>
              <w:tab w:val="right" w:leader="dot" w:pos="9628"/>
            </w:tabs>
            <w:rPr>
              <w:rFonts w:asciiTheme="minorHAnsi" w:eastAsiaTheme="minorEastAsia" w:hAnsiTheme="minorHAnsi"/>
              <w:noProof/>
              <w:lang w:eastAsia="en-AU"/>
            </w:rPr>
          </w:pPr>
          <w:hyperlink w:anchor="_Toc120776919" w:history="1">
            <w:r w:rsidR="00D5474C" w:rsidRPr="00C751B0">
              <w:rPr>
                <w:rStyle w:val="Hyperlink"/>
                <w:noProof/>
              </w:rPr>
              <w:t xml:space="preserve">9.7 </w:t>
            </w:r>
            <w:r w:rsidR="00D5474C">
              <w:rPr>
                <w:rFonts w:asciiTheme="minorHAnsi" w:eastAsiaTheme="minorEastAsia" w:hAnsiTheme="minorHAnsi"/>
                <w:noProof/>
                <w:lang w:eastAsia="en-AU"/>
              </w:rPr>
              <w:tab/>
            </w:r>
            <w:r w:rsidR="00D5474C" w:rsidRPr="00C751B0">
              <w:rPr>
                <w:rStyle w:val="Hyperlink"/>
                <w:noProof/>
              </w:rPr>
              <w:t>Disability organisations</w:t>
            </w:r>
            <w:r w:rsidR="00D5474C">
              <w:rPr>
                <w:noProof/>
                <w:webHidden/>
              </w:rPr>
              <w:tab/>
            </w:r>
            <w:r w:rsidR="00D5474C">
              <w:rPr>
                <w:noProof/>
                <w:webHidden/>
              </w:rPr>
              <w:fldChar w:fldCharType="begin"/>
            </w:r>
            <w:r w:rsidR="00D5474C">
              <w:rPr>
                <w:noProof/>
                <w:webHidden/>
              </w:rPr>
              <w:instrText xml:space="preserve"> PAGEREF _Toc120776919 \h </w:instrText>
            </w:r>
            <w:r w:rsidR="00D5474C">
              <w:rPr>
                <w:noProof/>
                <w:webHidden/>
              </w:rPr>
            </w:r>
            <w:r w:rsidR="00D5474C">
              <w:rPr>
                <w:noProof/>
                <w:webHidden/>
              </w:rPr>
              <w:fldChar w:fldCharType="separate"/>
            </w:r>
            <w:r w:rsidR="00D5474C">
              <w:rPr>
                <w:noProof/>
                <w:webHidden/>
              </w:rPr>
              <w:t>11</w:t>
            </w:r>
            <w:r w:rsidR="00D5474C">
              <w:rPr>
                <w:noProof/>
                <w:webHidden/>
              </w:rPr>
              <w:fldChar w:fldCharType="end"/>
            </w:r>
          </w:hyperlink>
        </w:p>
        <w:p w14:paraId="06003C91" w14:textId="5A0FE952" w:rsidR="00D5474C" w:rsidRDefault="00807A31">
          <w:pPr>
            <w:pStyle w:val="TOC1"/>
            <w:tabs>
              <w:tab w:val="left" w:pos="1760"/>
              <w:tab w:val="right" w:leader="dot" w:pos="9628"/>
            </w:tabs>
            <w:rPr>
              <w:rFonts w:asciiTheme="minorHAnsi" w:eastAsiaTheme="minorEastAsia" w:hAnsiTheme="minorHAnsi"/>
              <w:b w:val="0"/>
              <w:noProof/>
              <w:lang w:eastAsia="en-AU"/>
            </w:rPr>
          </w:pPr>
          <w:hyperlink w:anchor="_Toc120776920" w:history="1">
            <w:r w:rsidR="00D5474C" w:rsidRPr="00C751B0">
              <w:rPr>
                <w:rStyle w:val="Hyperlink"/>
                <w:noProof/>
              </w:rPr>
              <w:t>Attachment A</w:t>
            </w:r>
            <w:r w:rsidR="00D5474C">
              <w:rPr>
                <w:rFonts w:asciiTheme="minorHAnsi" w:eastAsiaTheme="minorEastAsia" w:hAnsiTheme="minorHAnsi"/>
                <w:b w:val="0"/>
                <w:noProof/>
                <w:lang w:eastAsia="en-AU"/>
              </w:rPr>
              <w:tab/>
            </w:r>
            <w:r w:rsidR="00D5474C" w:rsidRPr="00C751B0">
              <w:rPr>
                <w:rStyle w:val="Hyperlink"/>
                <w:noProof/>
              </w:rPr>
              <w:t>Terms and definitions</w:t>
            </w:r>
            <w:r w:rsidR="00D5474C">
              <w:rPr>
                <w:noProof/>
                <w:webHidden/>
              </w:rPr>
              <w:tab/>
            </w:r>
            <w:r w:rsidR="00D5474C">
              <w:rPr>
                <w:noProof/>
                <w:webHidden/>
              </w:rPr>
              <w:fldChar w:fldCharType="begin"/>
            </w:r>
            <w:r w:rsidR="00D5474C">
              <w:rPr>
                <w:noProof/>
                <w:webHidden/>
              </w:rPr>
              <w:instrText xml:space="preserve"> PAGEREF _Toc120776920 \h </w:instrText>
            </w:r>
            <w:r w:rsidR="00D5474C">
              <w:rPr>
                <w:noProof/>
                <w:webHidden/>
              </w:rPr>
            </w:r>
            <w:r w:rsidR="00D5474C">
              <w:rPr>
                <w:noProof/>
                <w:webHidden/>
              </w:rPr>
              <w:fldChar w:fldCharType="separate"/>
            </w:r>
            <w:r w:rsidR="00D5474C">
              <w:rPr>
                <w:noProof/>
                <w:webHidden/>
              </w:rPr>
              <w:t>12</w:t>
            </w:r>
            <w:r w:rsidR="00D5474C">
              <w:rPr>
                <w:noProof/>
                <w:webHidden/>
              </w:rPr>
              <w:fldChar w:fldCharType="end"/>
            </w:r>
          </w:hyperlink>
        </w:p>
        <w:p w14:paraId="22DE0FE2" w14:textId="52202A1E" w:rsidR="00C4086C" w:rsidRDefault="00C4086C" w:rsidP="00C4086C">
          <w:pPr>
            <w:sectPr w:rsidR="00C4086C" w:rsidSect="00F159F8">
              <w:headerReference w:type="default" r:id="rId19"/>
              <w:footerReference w:type="default" r:id="rId20"/>
              <w:headerReference w:type="first" r:id="rId21"/>
              <w:footerReference w:type="first" r:id="rId22"/>
              <w:pgSz w:w="11906" w:h="16838" w:code="9"/>
              <w:pgMar w:top="1418" w:right="1134" w:bottom="1418" w:left="1134" w:header="567" w:footer="567" w:gutter="0"/>
              <w:pgNumType w:fmt="lowerRoman" w:start="1"/>
              <w:cols w:space="708"/>
              <w:docGrid w:linePitch="360"/>
            </w:sectPr>
          </w:pPr>
          <w:r w:rsidRPr="000F2A6E">
            <w:rPr>
              <w:b/>
              <w:bCs/>
            </w:rPr>
            <w:fldChar w:fldCharType="end"/>
          </w:r>
        </w:p>
      </w:sdtContent>
    </w:sdt>
    <w:p w14:paraId="5511C31E" w14:textId="4483E0D4" w:rsidR="00C4086C" w:rsidRDefault="00C95D46" w:rsidP="005C2239">
      <w:pPr>
        <w:pStyle w:val="Heading1"/>
      </w:pPr>
      <w:bookmarkStart w:id="7" w:name="_Toc120776894"/>
      <w:r>
        <w:lastRenderedPageBreak/>
        <w:t>1</w:t>
      </w:r>
      <w:r>
        <w:tab/>
      </w:r>
      <w:r w:rsidR="007B207C" w:rsidRPr="007B207C">
        <w:t xml:space="preserve">NSW Government Electric Vehicle Fleet Charging Infrastructure Prequalification Scheme - </w:t>
      </w:r>
      <w:r w:rsidR="0083043E" w:rsidRPr="0083043E">
        <w:t>SCM13381</w:t>
      </w:r>
      <w:bookmarkEnd w:id="7"/>
    </w:p>
    <w:p w14:paraId="1C469320" w14:textId="62CDCD15" w:rsidR="005C2239" w:rsidRDefault="00C4086C" w:rsidP="00D3080D">
      <w:r w:rsidRPr="00340315">
        <w:t xml:space="preserve">These guidelines </w:t>
      </w:r>
      <w:r w:rsidR="00184C2C">
        <w:t xml:space="preserve">are </w:t>
      </w:r>
      <w:r w:rsidR="00027987">
        <w:t>for Agencies procuring</w:t>
      </w:r>
      <w:r w:rsidR="008C6C0A">
        <w:t xml:space="preserve"> </w:t>
      </w:r>
      <w:r w:rsidR="00FD22C3">
        <w:t xml:space="preserve">using the </w:t>
      </w:r>
      <w:r w:rsidR="007B207C" w:rsidRPr="007B207C">
        <w:t xml:space="preserve">NSW Government Electric Vehicle Fleet Charging Infrastructure Prequalification Scheme - </w:t>
      </w:r>
      <w:r w:rsidR="0083043E" w:rsidRPr="0083043E">
        <w:t>SCM13381</w:t>
      </w:r>
      <w:r w:rsidR="00EB2E94">
        <w:t xml:space="preserve">. </w:t>
      </w:r>
      <w:r w:rsidR="00375E58">
        <w:t>This document</w:t>
      </w:r>
      <w:r w:rsidR="007B35B2">
        <w:t xml:space="preserve"> should be read in conjunction with</w:t>
      </w:r>
      <w:r w:rsidR="00093C7D">
        <w:t xml:space="preserve"> </w:t>
      </w:r>
      <w:r w:rsidR="00183BFB">
        <w:t xml:space="preserve">the </w:t>
      </w:r>
      <w:r w:rsidR="00833719">
        <w:t>Scheme</w:t>
      </w:r>
      <w:r w:rsidR="00093C7D">
        <w:t xml:space="preserve"> Conditions</w:t>
      </w:r>
      <w:r w:rsidR="00027987">
        <w:t>.</w:t>
      </w:r>
      <w:r w:rsidR="005C2239">
        <w:t xml:space="preserve"> </w:t>
      </w:r>
    </w:p>
    <w:p w14:paraId="485BD201" w14:textId="15EFD03B" w:rsidR="00AB26D9" w:rsidRDefault="00AB26D9" w:rsidP="00D3080D">
      <w:r>
        <w:t xml:space="preserve">The following table provides a summary of the key features of the </w:t>
      </w:r>
      <w:r w:rsidR="00833719">
        <w:t>Scheme</w:t>
      </w:r>
      <w:r w:rsidR="005C2239">
        <w:t>:</w:t>
      </w:r>
    </w:p>
    <w:tbl>
      <w:tblPr>
        <w:tblStyle w:val="TableGrid"/>
        <w:tblW w:w="9639" w:type="dxa"/>
        <w:tblLook w:val="04A0" w:firstRow="1" w:lastRow="0" w:firstColumn="1" w:lastColumn="0" w:noHBand="0" w:noVBand="1"/>
      </w:tblPr>
      <w:tblGrid>
        <w:gridCol w:w="1361"/>
        <w:gridCol w:w="8278"/>
      </w:tblGrid>
      <w:tr w:rsidR="00AB6C72" w14:paraId="7DF62008" w14:textId="382228DD" w:rsidTr="00E1585F">
        <w:trPr>
          <w:cnfStyle w:val="100000000000" w:firstRow="1" w:lastRow="0" w:firstColumn="0" w:lastColumn="0" w:oddVBand="0" w:evenVBand="0" w:oddHBand="0" w:evenHBand="0" w:firstRowFirstColumn="0" w:firstRowLastColumn="0" w:lastRowFirstColumn="0" w:lastRowLastColumn="0"/>
        </w:trPr>
        <w:tc>
          <w:tcPr>
            <w:tcW w:w="1361" w:type="dxa"/>
          </w:tcPr>
          <w:p w14:paraId="37ACDF0F" w14:textId="5ABAD592" w:rsidR="00AB6C72" w:rsidRDefault="00AB6C72" w:rsidP="00BA7721">
            <w:r>
              <w:t>Item</w:t>
            </w:r>
          </w:p>
        </w:tc>
        <w:tc>
          <w:tcPr>
            <w:tcW w:w="8278" w:type="dxa"/>
          </w:tcPr>
          <w:p w14:paraId="11867D35" w14:textId="4D5821E8" w:rsidR="00AB6C72" w:rsidRDefault="00AB6C72" w:rsidP="00BA7721">
            <w:r>
              <w:t>Description</w:t>
            </w:r>
          </w:p>
        </w:tc>
      </w:tr>
      <w:tr w:rsidR="00AB6C72" w14:paraId="05EA1383" w14:textId="5BA68477" w:rsidTr="00E1585F">
        <w:tc>
          <w:tcPr>
            <w:tcW w:w="1361" w:type="dxa"/>
          </w:tcPr>
          <w:p w14:paraId="6637CE16" w14:textId="1DA9282B" w:rsidR="00AB6C72" w:rsidRDefault="00AB6C72" w:rsidP="00BA7721">
            <w:pPr>
              <w:rPr>
                <w:color w:val="2C2B2B" w:themeColor="text1"/>
              </w:rPr>
            </w:pPr>
            <w:r>
              <w:rPr>
                <w:color w:val="2C2B2B" w:themeColor="text1"/>
              </w:rPr>
              <w:t>Scope</w:t>
            </w:r>
            <w:r w:rsidR="00093C7D">
              <w:rPr>
                <w:color w:val="2C2B2B" w:themeColor="text1"/>
              </w:rPr>
              <w:t xml:space="preserve"> of the </w:t>
            </w:r>
            <w:r w:rsidR="00833719">
              <w:rPr>
                <w:color w:val="2C2B2B" w:themeColor="text1"/>
              </w:rPr>
              <w:t>Scheme</w:t>
            </w:r>
          </w:p>
        </w:tc>
        <w:tc>
          <w:tcPr>
            <w:tcW w:w="8278" w:type="dxa"/>
          </w:tcPr>
          <w:p w14:paraId="75929028" w14:textId="77777777" w:rsidR="00575EDA" w:rsidRPr="00575EDA" w:rsidRDefault="00575EDA" w:rsidP="00575EDA">
            <w:pPr>
              <w:rPr>
                <w:color w:val="2C2B2B" w:themeColor="text1"/>
              </w:rPr>
            </w:pPr>
            <w:r w:rsidRPr="00575EDA">
              <w:rPr>
                <w:color w:val="2C2B2B" w:themeColor="text1"/>
              </w:rPr>
              <w:t>The scheme covers the following;</w:t>
            </w:r>
          </w:p>
          <w:p w14:paraId="12B13317" w14:textId="08056B6F" w:rsidR="00575EDA" w:rsidRPr="00DC2F90" w:rsidRDefault="00575EDA" w:rsidP="001422B2">
            <w:pPr>
              <w:pStyle w:val="ListParagraph"/>
              <w:numPr>
                <w:ilvl w:val="0"/>
                <w:numId w:val="12"/>
              </w:numPr>
              <w:rPr>
                <w:color w:val="2C2B2B" w:themeColor="text1"/>
              </w:rPr>
            </w:pPr>
            <w:r w:rsidRPr="00DC2F90">
              <w:rPr>
                <w:color w:val="2C2B2B" w:themeColor="text1"/>
              </w:rPr>
              <w:t xml:space="preserve">The supply of Electric Vehicle Supply Equipment (EVSE) Goods, meaning EVSE and other hardware used in connection with EVSE; </w:t>
            </w:r>
          </w:p>
          <w:p w14:paraId="50B0B457" w14:textId="77777777" w:rsidR="007008BF" w:rsidRPr="00DC2F90" w:rsidRDefault="00575EDA" w:rsidP="001422B2">
            <w:pPr>
              <w:pStyle w:val="ListParagraph"/>
              <w:numPr>
                <w:ilvl w:val="0"/>
                <w:numId w:val="12"/>
              </w:numPr>
              <w:rPr>
                <w:color w:val="2C2B2B" w:themeColor="text1"/>
              </w:rPr>
            </w:pPr>
            <w:r w:rsidRPr="00DC2F90">
              <w:rPr>
                <w:color w:val="2C2B2B" w:themeColor="text1"/>
              </w:rPr>
              <w:t>The carrying out of required EVSE Works meaning the performance of works and activities (including the supply of materials) necessary for the supply, manufacture, construction, installation and commissioning of EVSE Goods (including, if required, the upgrade of the site electrical backbone) and other works that may be carried out in conjunction with the supply, manufacture, construction, installation and commissioning of EVSE Goods</w:t>
            </w:r>
          </w:p>
          <w:p w14:paraId="1E34B92D" w14:textId="27B11CF5" w:rsidR="006311C6" w:rsidRPr="00DC2F90" w:rsidRDefault="00575EDA" w:rsidP="001422B2">
            <w:pPr>
              <w:pStyle w:val="ListParagraph"/>
              <w:numPr>
                <w:ilvl w:val="0"/>
                <w:numId w:val="12"/>
              </w:numPr>
              <w:rPr>
                <w:color w:val="2C2B2B" w:themeColor="text1"/>
              </w:rPr>
            </w:pPr>
            <w:r w:rsidRPr="00DC2F90">
              <w:rPr>
                <w:color w:val="2C2B2B" w:themeColor="text1"/>
              </w:rPr>
              <w:t>The Supply of EVSE Services meaning the services provided in relation to EVSE, including but not limited maintenance Services and Charging as a Service (“CAAS Services”).</w:t>
            </w:r>
          </w:p>
        </w:tc>
      </w:tr>
      <w:tr w:rsidR="00A80F2D" w14:paraId="1EBCEC43" w14:textId="77777777" w:rsidTr="00E1585F">
        <w:tc>
          <w:tcPr>
            <w:tcW w:w="1361" w:type="dxa"/>
          </w:tcPr>
          <w:p w14:paraId="5C4527FD" w14:textId="3B0C4DB1" w:rsidR="00A80F2D" w:rsidRDefault="00DF4A63" w:rsidP="00BA7721">
            <w:pPr>
              <w:rPr>
                <w:color w:val="2C2B2B" w:themeColor="text1"/>
              </w:rPr>
            </w:pPr>
            <w:r>
              <w:rPr>
                <w:color w:val="2C2B2B" w:themeColor="text1"/>
              </w:rPr>
              <w:t>Work Categories:</w:t>
            </w:r>
          </w:p>
        </w:tc>
        <w:tc>
          <w:tcPr>
            <w:tcW w:w="8278" w:type="dxa"/>
          </w:tcPr>
          <w:p w14:paraId="7245274E" w14:textId="38642C85" w:rsidR="00C82E3A" w:rsidRPr="00C82E3A" w:rsidRDefault="00C82E3A" w:rsidP="0016508F">
            <w:pPr>
              <w:pStyle w:val="DFSIBullet"/>
              <w:ind w:left="0"/>
            </w:pPr>
            <w:r w:rsidRPr="00C82E3A">
              <w:t xml:space="preserve">The scheme covers suppliers who are prequalified to Capability A – Electric Vehicle Supply Equipment (EVSE) Goods, Works and Services which covers the following; </w:t>
            </w:r>
          </w:p>
          <w:p w14:paraId="6201C715" w14:textId="77777777" w:rsidR="00C82E3A" w:rsidRPr="00C82E3A" w:rsidRDefault="00C82E3A" w:rsidP="0016508F">
            <w:pPr>
              <w:pStyle w:val="DFSIBullet"/>
            </w:pPr>
            <w:r w:rsidRPr="00C82E3A">
              <w:t>A1. EVSE Goods</w:t>
            </w:r>
          </w:p>
          <w:p w14:paraId="793F5242" w14:textId="732E9C87" w:rsidR="00C82E3A" w:rsidRPr="00823629" w:rsidRDefault="00C82E3A" w:rsidP="0016508F">
            <w:pPr>
              <w:pStyle w:val="DFSIBullet"/>
            </w:pPr>
            <w:r w:rsidRPr="00823629">
              <w:t>Supply of EV chargers, including AC EV charger (7kW to 22kW), and/or DC EV charger (25kW to 150 kW), load management controller, and other hardware to charge electric vehicles to cater for fleet operation needs. The EVSE Goods must comply with the specifications as defined in EVSE Goods, Works and Services Specification Document.</w:t>
            </w:r>
          </w:p>
          <w:p w14:paraId="76A3A1DE" w14:textId="7D921D85" w:rsidR="00C82E3A" w:rsidRPr="00C82E3A" w:rsidRDefault="00C82E3A" w:rsidP="0016508F">
            <w:pPr>
              <w:pStyle w:val="DFSIBullet"/>
            </w:pPr>
            <w:r w:rsidRPr="00C82E3A">
              <w:t>A2. EVSE Works</w:t>
            </w:r>
          </w:p>
          <w:p w14:paraId="7E85C4C5" w14:textId="5E37D7BC" w:rsidR="00C82E3A" w:rsidRPr="00C82E3A" w:rsidRDefault="00C82E3A" w:rsidP="0016508F">
            <w:pPr>
              <w:pStyle w:val="DFSIBullet"/>
            </w:pPr>
            <w:r w:rsidRPr="00C82E3A">
              <w:t xml:space="preserve">Carry out of civil and electrical installation works and materials to setup up EVSEs in a site, works including but not limited to, site inspection, installation physical design, site backbone electrical infrastructure upgrade (if required), cable conduit, wire routing, EVSEs installation, IT network integration with EVSEs. Carry out the commissioning services to thoroughly test, operate and calibrate the EVSEs to ensure all EV charging functions in accordance with relevant standards and manufacturer’s specifications. </w:t>
            </w:r>
          </w:p>
          <w:p w14:paraId="641BEF6C" w14:textId="331A24DD" w:rsidR="000F4941" w:rsidRPr="00DC6003" w:rsidRDefault="0016508F" w:rsidP="0016508F">
            <w:pPr>
              <w:pStyle w:val="DFSIBullet"/>
            </w:pPr>
            <w:r w:rsidRPr="00C82E3A">
              <w:t>Ensure that EVSEs integrate with the Charging Management Platform (CMP) and support all data communication, reporting and operation requirements</w:t>
            </w:r>
          </w:p>
        </w:tc>
      </w:tr>
      <w:tr w:rsidR="00545C42" w14:paraId="758A0AB8" w14:textId="77777777" w:rsidTr="00E1585F">
        <w:tc>
          <w:tcPr>
            <w:tcW w:w="1361" w:type="dxa"/>
          </w:tcPr>
          <w:p w14:paraId="44012244" w14:textId="77777777" w:rsidR="00545C42" w:rsidRDefault="00545C42" w:rsidP="00BA7721">
            <w:pPr>
              <w:rPr>
                <w:color w:val="2C2B2B" w:themeColor="text1"/>
              </w:rPr>
            </w:pPr>
          </w:p>
        </w:tc>
        <w:tc>
          <w:tcPr>
            <w:tcW w:w="8278" w:type="dxa"/>
          </w:tcPr>
          <w:p w14:paraId="3A7CB340" w14:textId="3C261DDC" w:rsidR="00545C42" w:rsidRPr="00C82E3A" w:rsidRDefault="00545C42" w:rsidP="0016508F">
            <w:pPr>
              <w:pStyle w:val="DFSIBullet"/>
            </w:pPr>
            <w:r w:rsidRPr="00C82E3A">
              <w:t xml:space="preserve">Meet all electrical safety, power loading and structural maintenance requirements of site backbone electrical infrastructure. Perform installation checks and test services to ensure compliance with the specifications as defined in EVSE Goods, Works and Services Specification Document. The Works must be carried out in accordance </w:t>
            </w:r>
            <w:r w:rsidR="00D707E4" w:rsidRPr="00C82E3A">
              <w:t>with</w:t>
            </w:r>
            <w:r w:rsidRPr="00C82E3A">
              <w:t xml:space="preserve"> standards of workmanship and work methods which conform with all, relevant Australian Standards, codes of practice and the lawful requirements, including holding all required licenses and certifications.</w:t>
            </w:r>
          </w:p>
          <w:p w14:paraId="5CF574B7" w14:textId="77777777" w:rsidR="00545C42" w:rsidRPr="00C82E3A" w:rsidRDefault="00545C42" w:rsidP="0016508F">
            <w:pPr>
              <w:pStyle w:val="DFSIBullet"/>
            </w:pPr>
            <w:r w:rsidRPr="00C82E3A">
              <w:t>A3. Maintenance Services</w:t>
            </w:r>
          </w:p>
          <w:p w14:paraId="4F8B81D9" w14:textId="77777777" w:rsidR="00545C42" w:rsidRPr="00C82E3A" w:rsidRDefault="00545C42" w:rsidP="0016508F">
            <w:pPr>
              <w:pStyle w:val="DFSIBullet"/>
            </w:pPr>
            <w:r w:rsidRPr="00C82E3A">
              <w:t xml:space="preserve">Maintenance of EVSEs and other works associated, including EVSE inspection, servicing, repairs, resolving data communication with CMP, fixing warranty issues, helpdesk support and tracking maintenance requests. </w:t>
            </w:r>
          </w:p>
          <w:p w14:paraId="360134DA" w14:textId="77777777" w:rsidR="00545C42" w:rsidRPr="0016508F" w:rsidRDefault="00545C42" w:rsidP="0016508F">
            <w:pPr>
              <w:rPr>
                <w:b/>
                <w:bCs/>
                <w:color w:val="2C2B2B" w:themeColor="text1"/>
              </w:rPr>
            </w:pPr>
            <w:r w:rsidRPr="0016508F">
              <w:rPr>
                <w:b/>
                <w:bCs/>
                <w:color w:val="2C2B2B" w:themeColor="text1"/>
              </w:rPr>
              <w:t>Optional:</w:t>
            </w:r>
          </w:p>
          <w:p w14:paraId="675572EC" w14:textId="77777777" w:rsidR="00545C42" w:rsidRPr="00C82E3A" w:rsidRDefault="00545C42" w:rsidP="0016508F">
            <w:pPr>
              <w:pStyle w:val="DFSIBullet"/>
            </w:pPr>
            <w:r w:rsidRPr="00C82E3A">
              <w:t>A4. Charging-as-a-Service (CAAS)</w:t>
            </w:r>
          </w:p>
          <w:p w14:paraId="7A8C5AF3" w14:textId="6D94BB3B" w:rsidR="00545C42" w:rsidRDefault="00545C42" w:rsidP="0016508F">
            <w:pPr>
              <w:pStyle w:val="DFSIBullet"/>
            </w:pPr>
            <w:r w:rsidRPr="00C82E3A">
              <w:t>Supply of a subscription-based service model allowing a $/kWh fee to be paid per charge, or weekly/monthly/annual fee per EVSE/vehicle over a fixed term period, or a standard parking fee coupled with charger access.  The subscription model includes turnkey EV charging stations and associated system, driver support and professional field maintenance. Applicants are encouraged to provide details and information about their subscription service model offerings.</w:t>
            </w:r>
          </w:p>
        </w:tc>
      </w:tr>
      <w:tr w:rsidR="00AB6C72" w14:paraId="654D3D8F" w14:textId="1960E6C5" w:rsidTr="00E1585F">
        <w:tc>
          <w:tcPr>
            <w:tcW w:w="1361" w:type="dxa"/>
          </w:tcPr>
          <w:p w14:paraId="7FFB432E" w14:textId="1CFDC732" w:rsidR="00AB6C72" w:rsidRDefault="0090289E" w:rsidP="00BA7721">
            <w:pPr>
              <w:rPr>
                <w:color w:val="2C2B2B" w:themeColor="text1"/>
              </w:rPr>
            </w:pPr>
            <w:r>
              <w:rPr>
                <w:color w:val="2C2B2B" w:themeColor="text1"/>
              </w:rPr>
              <w:t>Compliance</w:t>
            </w:r>
            <w:r w:rsidR="00093C7D">
              <w:rPr>
                <w:color w:val="2C2B2B" w:themeColor="text1"/>
              </w:rPr>
              <w:t xml:space="preserve"> with provisions </w:t>
            </w:r>
            <w:r>
              <w:rPr>
                <w:color w:val="2C2B2B" w:themeColor="text1"/>
              </w:rPr>
              <w:t>of</w:t>
            </w:r>
            <w:r w:rsidR="00093C7D">
              <w:rPr>
                <w:color w:val="2C2B2B" w:themeColor="text1"/>
              </w:rPr>
              <w:t xml:space="preserve"> the </w:t>
            </w:r>
            <w:r w:rsidRPr="001E1A39">
              <w:rPr>
                <w:color w:val="2C2B2B" w:themeColor="text1"/>
              </w:rPr>
              <w:t>Enforceable Procurement Provisions</w:t>
            </w:r>
            <w:r>
              <w:rPr>
                <w:color w:val="2C2B2B" w:themeColor="text1"/>
              </w:rPr>
              <w:t xml:space="preserve"> (</w:t>
            </w:r>
            <w:r w:rsidR="00093C7D">
              <w:rPr>
                <w:color w:val="2C2B2B" w:themeColor="text1"/>
              </w:rPr>
              <w:t>EPP</w:t>
            </w:r>
            <w:r>
              <w:rPr>
                <w:color w:val="2C2B2B" w:themeColor="text1"/>
              </w:rPr>
              <w:t>)</w:t>
            </w:r>
          </w:p>
        </w:tc>
        <w:tc>
          <w:tcPr>
            <w:tcW w:w="8278" w:type="dxa"/>
          </w:tcPr>
          <w:p w14:paraId="75CC4730" w14:textId="7F851702" w:rsidR="00DC6003" w:rsidRPr="00DC6003" w:rsidRDefault="00773456" w:rsidP="00BA7721">
            <w:pPr>
              <w:rPr>
                <w:b/>
                <w:bCs/>
                <w:color w:val="2C2B2B" w:themeColor="text1"/>
              </w:rPr>
            </w:pPr>
            <w:r>
              <w:rPr>
                <w:b/>
                <w:bCs/>
                <w:color w:val="2C2B2B" w:themeColor="text1"/>
              </w:rPr>
              <w:t>Yes</w:t>
            </w:r>
          </w:p>
          <w:p w14:paraId="3E10D362" w14:textId="465BBC72" w:rsidR="004A0F49" w:rsidRPr="00BE1849" w:rsidRDefault="004A0F49" w:rsidP="004A0F49">
            <w:pPr>
              <w:pStyle w:val="NormalWeb"/>
              <w:spacing w:before="0" w:beforeAutospacing="0" w:after="0" w:afterAutospacing="0"/>
              <w:rPr>
                <w:rFonts w:ascii="Arial" w:hAnsi="Arial" w:cs="Arial"/>
                <w:sz w:val="20"/>
                <w:szCs w:val="20"/>
              </w:rPr>
            </w:pPr>
            <w:r w:rsidRPr="00BE1849">
              <w:rPr>
                <w:rFonts w:ascii="Arial" w:hAnsi="Arial" w:cs="Arial"/>
                <w:sz w:val="20"/>
                <w:szCs w:val="20"/>
              </w:rPr>
              <w:t>Eligible buyers will also need to consider whether the planned procurement is a covered procurement and whether they need to comply with</w:t>
            </w:r>
            <w:r w:rsidRPr="00BE1849">
              <w:rPr>
                <w:rStyle w:val="apple-converted-space"/>
                <w:rFonts w:ascii="Arial" w:hAnsi="Arial" w:cs="Arial"/>
                <w:sz w:val="20"/>
                <w:szCs w:val="20"/>
              </w:rPr>
              <w:t> </w:t>
            </w:r>
            <w:hyperlink r:id="rId23" w:history="1">
              <w:r w:rsidRPr="00BE1849">
                <w:rPr>
                  <w:rStyle w:val="Hyperlink"/>
                  <w:rFonts w:ascii="Arial" w:hAnsi="Arial" w:cs="Arial"/>
                  <w:color w:val="002664"/>
                  <w:sz w:val="20"/>
                  <w:szCs w:val="20"/>
                </w:rPr>
                <w:t>PBD-2019-05 Enforceable procurement provisions</w:t>
              </w:r>
            </w:hyperlink>
            <w:r w:rsidRPr="00BE1849">
              <w:rPr>
                <w:rStyle w:val="apple-converted-space"/>
                <w:rFonts w:ascii="Arial" w:hAnsi="Arial" w:cs="Arial"/>
                <w:sz w:val="20"/>
                <w:szCs w:val="20"/>
              </w:rPr>
              <w:t> </w:t>
            </w:r>
            <w:r w:rsidRPr="00BE1849">
              <w:rPr>
                <w:rFonts w:ascii="Arial" w:hAnsi="Arial" w:cs="Arial"/>
                <w:sz w:val="20"/>
                <w:szCs w:val="20"/>
              </w:rPr>
              <w:t>where the estimated value of your procurement will be more than:</w:t>
            </w:r>
          </w:p>
          <w:p w14:paraId="268A1B17" w14:textId="77777777" w:rsidR="004A0F49" w:rsidRPr="00BE1849" w:rsidRDefault="004A0F49" w:rsidP="001422B2">
            <w:pPr>
              <w:numPr>
                <w:ilvl w:val="0"/>
                <w:numId w:val="13"/>
              </w:numPr>
              <w:spacing w:before="100" w:beforeAutospacing="1" w:after="100" w:afterAutospacing="1" w:line="240" w:lineRule="auto"/>
              <w:rPr>
                <w:rFonts w:eastAsia="Times New Roman" w:cs="Arial"/>
                <w:szCs w:val="20"/>
              </w:rPr>
            </w:pPr>
            <w:r w:rsidRPr="00BE1849">
              <w:rPr>
                <w:rFonts w:eastAsia="Times New Roman" w:cs="Arial"/>
                <w:szCs w:val="20"/>
              </w:rPr>
              <w:t>$9.584 million (excl. GST) for construction contracts</w:t>
            </w:r>
          </w:p>
          <w:p w14:paraId="1B3DF595" w14:textId="77777777" w:rsidR="004A0F49" w:rsidRPr="00BE1849" w:rsidRDefault="004A0F49" w:rsidP="001422B2">
            <w:pPr>
              <w:numPr>
                <w:ilvl w:val="0"/>
                <w:numId w:val="13"/>
              </w:numPr>
              <w:spacing w:before="100" w:beforeAutospacing="1" w:after="100" w:afterAutospacing="1" w:line="240" w:lineRule="auto"/>
              <w:rPr>
                <w:rFonts w:eastAsia="Times New Roman" w:cs="Arial"/>
                <w:szCs w:val="20"/>
              </w:rPr>
            </w:pPr>
            <w:r w:rsidRPr="00BE1849">
              <w:rPr>
                <w:rFonts w:eastAsia="Times New Roman" w:cs="Arial"/>
                <w:szCs w:val="20"/>
              </w:rPr>
              <w:t>$680,000 (excl. GST) for other goods and services.</w:t>
            </w:r>
          </w:p>
          <w:p w14:paraId="3581DC40" w14:textId="4A93E17A" w:rsidR="00AB6C72" w:rsidRPr="004A0F49" w:rsidRDefault="004A0F49" w:rsidP="00635BB6">
            <w:pPr>
              <w:rPr>
                <w:rFonts w:eastAsia="Arial Bold" w:cs="Arial"/>
                <w:b/>
                <w:bCs/>
                <w:color w:val="000000"/>
                <w:szCs w:val="20"/>
                <w:lang w:eastAsia="en-AU"/>
              </w:rPr>
            </w:pPr>
            <w:r w:rsidRPr="00635BB6">
              <w:rPr>
                <w:color w:val="2C2B2B" w:themeColor="text1"/>
              </w:rPr>
              <w:t>The Scheme Conditions have been prepared in a manner so that covered agencies who use the Scheme are able to comply with their obligations under the EPP Direction by using a prequalified supplier (i.e. an Approved Supplier) for the procurement of services in cases where the estimated value of the procurement is or exceeds the specified threshold.</w:t>
            </w:r>
          </w:p>
        </w:tc>
      </w:tr>
      <w:tr w:rsidR="00AB6C72" w14:paraId="245A5311" w14:textId="1BDE4E5A" w:rsidTr="00E1585F">
        <w:tc>
          <w:tcPr>
            <w:tcW w:w="1361" w:type="dxa"/>
          </w:tcPr>
          <w:p w14:paraId="5F3F8EE8" w14:textId="76BFCFAC" w:rsidR="00AB6C72" w:rsidRDefault="00D35D73" w:rsidP="00BA7721">
            <w:pPr>
              <w:rPr>
                <w:color w:val="2C2B2B" w:themeColor="text1"/>
              </w:rPr>
            </w:pPr>
            <w:r>
              <w:rPr>
                <w:color w:val="2C2B2B" w:themeColor="text1"/>
              </w:rPr>
              <w:t>Application deadline</w:t>
            </w:r>
          </w:p>
        </w:tc>
        <w:tc>
          <w:tcPr>
            <w:tcW w:w="8278" w:type="dxa"/>
          </w:tcPr>
          <w:p w14:paraId="1C32EC52" w14:textId="40AFE0CE" w:rsidR="006067D4" w:rsidRDefault="00D35D73" w:rsidP="00BA7721">
            <w:pPr>
              <w:rPr>
                <w:color w:val="2C2B2B" w:themeColor="text1"/>
              </w:rPr>
            </w:pPr>
            <w:r w:rsidRPr="00DC6003">
              <w:rPr>
                <w:b/>
                <w:bCs/>
                <w:color w:val="2C2B2B" w:themeColor="text1"/>
              </w:rPr>
              <w:t>Non</w:t>
            </w:r>
            <w:r w:rsidR="006067D4" w:rsidRPr="00DC6003">
              <w:rPr>
                <w:b/>
                <w:bCs/>
                <w:color w:val="2C2B2B" w:themeColor="text1"/>
              </w:rPr>
              <w:t>e</w:t>
            </w:r>
            <w:r w:rsidR="006067D4">
              <w:rPr>
                <w:color w:val="2C2B2B" w:themeColor="text1"/>
              </w:rPr>
              <w:t>.</w:t>
            </w:r>
            <w:r>
              <w:rPr>
                <w:color w:val="2C2B2B" w:themeColor="text1"/>
              </w:rPr>
              <w:t xml:space="preserve"> </w:t>
            </w:r>
          </w:p>
          <w:p w14:paraId="3A709D2D" w14:textId="50F3F3FB" w:rsidR="00AB6C72" w:rsidRDefault="006067D4" w:rsidP="00BA7721">
            <w:pPr>
              <w:rPr>
                <w:color w:val="2C2B2B" w:themeColor="text1"/>
              </w:rPr>
            </w:pPr>
            <w:r>
              <w:rPr>
                <w:color w:val="2C2B2B" w:themeColor="text1"/>
              </w:rPr>
              <w:t>T</w:t>
            </w:r>
            <w:r w:rsidR="00D35D73">
              <w:rPr>
                <w:color w:val="2C2B2B" w:themeColor="text1"/>
              </w:rPr>
              <w:t xml:space="preserve">he </w:t>
            </w:r>
            <w:r w:rsidR="00833719">
              <w:rPr>
                <w:color w:val="2C2B2B" w:themeColor="text1"/>
              </w:rPr>
              <w:t>Scheme</w:t>
            </w:r>
            <w:r w:rsidR="00D35D73">
              <w:rPr>
                <w:color w:val="2C2B2B" w:themeColor="text1"/>
              </w:rPr>
              <w:t xml:space="preserve"> is always open for Applications</w:t>
            </w:r>
          </w:p>
        </w:tc>
      </w:tr>
      <w:tr w:rsidR="00D35D73" w14:paraId="49A22F03" w14:textId="77777777" w:rsidTr="00E1585F">
        <w:tc>
          <w:tcPr>
            <w:tcW w:w="1361" w:type="dxa"/>
          </w:tcPr>
          <w:p w14:paraId="615488FB" w14:textId="73C0E980" w:rsidR="00D35D73" w:rsidRDefault="00D35D73" w:rsidP="00BA7721">
            <w:pPr>
              <w:rPr>
                <w:color w:val="2C2B2B" w:themeColor="text1"/>
              </w:rPr>
            </w:pPr>
            <w:r>
              <w:rPr>
                <w:color w:val="2C2B2B" w:themeColor="text1"/>
              </w:rPr>
              <w:t xml:space="preserve">Duration of the </w:t>
            </w:r>
            <w:r w:rsidR="00833719">
              <w:rPr>
                <w:color w:val="2C2B2B" w:themeColor="text1"/>
              </w:rPr>
              <w:t>Scheme</w:t>
            </w:r>
          </w:p>
        </w:tc>
        <w:tc>
          <w:tcPr>
            <w:tcW w:w="8278" w:type="dxa"/>
          </w:tcPr>
          <w:p w14:paraId="0317F86D" w14:textId="0F47502E" w:rsidR="00D35D73" w:rsidRDefault="00C96483" w:rsidP="00BA7721">
            <w:pPr>
              <w:rPr>
                <w:color w:val="2C2B2B" w:themeColor="text1"/>
              </w:rPr>
            </w:pPr>
            <w:r>
              <w:rPr>
                <w:color w:val="2C2B2B" w:themeColor="text1"/>
              </w:rPr>
              <w:t>3 Years from date of publication and release.</w:t>
            </w:r>
          </w:p>
        </w:tc>
      </w:tr>
      <w:tr w:rsidR="00D35D73" w14:paraId="654B1BDC" w14:textId="77777777" w:rsidTr="00E1585F">
        <w:tc>
          <w:tcPr>
            <w:tcW w:w="1361" w:type="dxa"/>
          </w:tcPr>
          <w:p w14:paraId="1E54E2DD" w14:textId="2CE78601" w:rsidR="00D35D73" w:rsidRPr="00C05D48" w:rsidRDefault="003F3A26" w:rsidP="00BA7721">
            <w:pPr>
              <w:rPr>
                <w:color w:val="2C2B2B" w:themeColor="text1"/>
              </w:rPr>
            </w:pPr>
            <w:r w:rsidRPr="00C05D48">
              <w:rPr>
                <w:color w:val="2C2B2B" w:themeColor="text1"/>
              </w:rPr>
              <w:t xml:space="preserve">Minimum number of quotes to be sought from </w:t>
            </w:r>
            <w:r w:rsidR="00AB6222" w:rsidRPr="00C05D48">
              <w:rPr>
                <w:color w:val="2C2B2B" w:themeColor="text1"/>
              </w:rPr>
              <w:t>Supplier</w:t>
            </w:r>
            <w:r w:rsidRPr="00C05D48">
              <w:rPr>
                <w:color w:val="2C2B2B" w:themeColor="text1"/>
              </w:rPr>
              <w:t>s</w:t>
            </w:r>
          </w:p>
        </w:tc>
        <w:tc>
          <w:tcPr>
            <w:tcW w:w="8278" w:type="dxa"/>
          </w:tcPr>
          <w:p w14:paraId="1B06CB9D" w14:textId="7E84B9A3" w:rsidR="006C0184" w:rsidRPr="00A62E0C" w:rsidRDefault="006C0184" w:rsidP="006C0184">
            <w:pPr>
              <w:pStyle w:val="NormalWeb"/>
              <w:shd w:val="clear" w:color="auto" w:fill="FFFFFF"/>
              <w:spacing w:before="0" w:beforeAutospacing="0" w:after="0" w:afterAutospacing="0"/>
              <w:rPr>
                <w:rFonts w:ascii="Arial" w:hAnsi="Arial" w:cs="Arial"/>
                <w:color w:val="000000"/>
                <w:sz w:val="20"/>
                <w:szCs w:val="20"/>
              </w:rPr>
            </w:pPr>
            <w:r w:rsidRPr="00A62E0C">
              <w:rPr>
                <w:rFonts w:ascii="Arial" w:hAnsi="Arial" w:cs="Arial"/>
                <w:color w:val="000000"/>
                <w:sz w:val="20"/>
                <w:szCs w:val="20"/>
              </w:rPr>
              <w:t>In buying from the</w:t>
            </w:r>
            <w:r>
              <w:rPr>
                <w:rFonts w:ascii="Arial" w:hAnsi="Arial" w:cs="Arial"/>
                <w:color w:val="000000"/>
                <w:sz w:val="20"/>
                <w:szCs w:val="20"/>
              </w:rPr>
              <w:t xml:space="preserve"> scheme the</w:t>
            </w:r>
            <w:r w:rsidRPr="00A62E0C">
              <w:rPr>
                <w:rFonts w:ascii="Arial" w:hAnsi="Arial" w:cs="Arial"/>
                <w:color w:val="000000"/>
                <w:sz w:val="20"/>
                <w:szCs w:val="20"/>
              </w:rPr>
              <w:t xml:space="preserve"> following quoting threshold</w:t>
            </w:r>
            <w:r>
              <w:rPr>
                <w:rFonts w:ascii="Arial" w:hAnsi="Arial" w:cs="Arial"/>
                <w:color w:val="000000"/>
                <w:sz w:val="20"/>
                <w:szCs w:val="20"/>
              </w:rPr>
              <w:t>s</w:t>
            </w:r>
            <w:r w:rsidRPr="00A62E0C">
              <w:rPr>
                <w:rFonts w:ascii="Arial" w:hAnsi="Arial" w:cs="Arial"/>
                <w:color w:val="000000"/>
                <w:sz w:val="20"/>
                <w:szCs w:val="20"/>
              </w:rPr>
              <w:t xml:space="preserve"> apply,</w:t>
            </w:r>
          </w:p>
          <w:p w14:paraId="6EBE18E7" w14:textId="77777777" w:rsidR="006C0184" w:rsidRPr="00A62E0C" w:rsidRDefault="006C0184" w:rsidP="006C0184">
            <w:pPr>
              <w:pStyle w:val="NormalWeb"/>
              <w:shd w:val="clear" w:color="auto" w:fill="FFFFFF"/>
              <w:spacing w:before="0" w:beforeAutospacing="0" w:after="0" w:afterAutospacing="0"/>
              <w:rPr>
                <w:rFonts w:ascii="Arial" w:hAnsi="Arial" w:cs="Arial"/>
                <w:color w:val="000000"/>
                <w:sz w:val="20"/>
                <w:szCs w:val="20"/>
              </w:rPr>
            </w:pPr>
          </w:p>
          <w:p w14:paraId="0DCE5214" w14:textId="77777777" w:rsidR="006C0184" w:rsidRPr="00A62E0C" w:rsidRDefault="006C0184" w:rsidP="001422B2">
            <w:pPr>
              <w:pStyle w:val="NormalWeb"/>
              <w:numPr>
                <w:ilvl w:val="0"/>
                <w:numId w:val="14"/>
              </w:numPr>
              <w:shd w:val="clear" w:color="auto" w:fill="FFFFFF"/>
              <w:spacing w:before="0" w:beforeAutospacing="0" w:after="0" w:afterAutospacing="0"/>
              <w:rPr>
                <w:rFonts w:ascii="Arial" w:hAnsi="Arial" w:cs="Arial"/>
                <w:color w:val="000000"/>
                <w:sz w:val="20"/>
                <w:szCs w:val="20"/>
              </w:rPr>
            </w:pPr>
            <w:r w:rsidRPr="00A62E0C">
              <w:rPr>
                <w:rFonts w:ascii="Arial" w:hAnsi="Arial" w:cs="Arial"/>
                <w:color w:val="000000"/>
                <w:sz w:val="20"/>
                <w:szCs w:val="20"/>
              </w:rPr>
              <w:t>Where estimated contract Value is $50,000 (excl. GST) a single quotation is required.</w:t>
            </w:r>
          </w:p>
          <w:p w14:paraId="39900636" w14:textId="60B95A36" w:rsidR="00B843D9" w:rsidRPr="006C0184" w:rsidRDefault="006C0184" w:rsidP="001422B2">
            <w:pPr>
              <w:pStyle w:val="NormalWeb"/>
              <w:numPr>
                <w:ilvl w:val="0"/>
                <w:numId w:val="14"/>
              </w:numPr>
              <w:shd w:val="clear" w:color="auto" w:fill="FFFFFF"/>
              <w:spacing w:before="0" w:beforeAutospacing="0" w:after="0" w:afterAutospacing="0"/>
              <w:rPr>
                <w:rFonts w:ascii="Arial" w:hAnsi="Arial" w:cs="Arial"/>
                <w:color w:val="000000"/>
                <w:sz w:val="20"/>
                <w:szCs w:val="20"/>
              </w:rPr>
            </w:pPr>
            <w:r w:rsidRPr="00A62E0C">
              <w:rPr>
                <w:rFonts w:ascii="Arial" w:hAnsi="Arial" w:cs="Arial"/>
                <w:color w:val="000000"/>
                <w:sz w:val="20"/>
                <w:szCs w:val="20"/>
              </w:rPr>
              <w:t>Where estimated contract Value is over $50,000 (excl. GST) a minimum 3 quotation are required.</w:t>
            </w:r>
          </w:p>
        </w:tc>
      </w:tr>
    </w:tbl>
    <w:p w14:paraId="0EA9C5AE" w14:textId="00FC4579" w:rsidR="00070478" w:rsidRDefault="00070478" w:rsidP="00C05D48"/>
    <w:p w14:paraId="39DDC3E6" w14:textId="77777777" w:rsidR="00070478" w:rsidRPr="003D127D" w:rsidRDefault="00070478" w:rsidP="00C05D48"/>
    <w:p w14:paraId="41584073" w14:textId="66C36B2A" w:rsidR="00C4086C" w:rsidRDefault="00070478" w:rsidP="005C2239">
      <w:pPr>
        <w:pStyle w:val="Heading1"/>
      </w:pPr>
      <w:bookmarkStart w:id="8" w:name="_Toc120776895"/>
      <w:r>
        <w:lastRenderedPageBreak/>
        <w:t>2</w:t>
      </w:r>
      <w:r w:rsidR="00C95D46">
        <w:tab/>
      </w:r>
      <w:r w:rsidR="00AB2951">
        <w:t xml:space="preserve">Benefits of the </w:t>
      </w:r>
      <w:r w:rsidR="00833719">
        <w:t>Scheme</w:t>
      </w:r>
      <w:bookmarkEnd w:id="8"/>
    </w:p>
    <w:p w14:paraId="4F61298A" w14:textId="6B384AFF" w:rsidR="00355CFA" w:rsidRDefault="00866981" w:rsidP="00866981">
      <w:pPr>
        <w:contextualSpacing/>
      </w:pPr>
      <w:r>
        <w:t xml:space="preserve">The key benefits for Agencies using this </w:t>
      </w:r>
      <w:r w:rsidR="00833719">
        <w:t>Scheme</w:t>
      </w:r>
      <w:r>
        <w:t xml:space="preserve"> include:</w:t>
      </w:r>
    </w:p>
    <w:p w14:paraId="6748E86C" w14:textId="2E3456D5" w:rsidR="00851D63" w:rsidRDefault="00851D63" w:rsidP="008F67B7">
      <w:pPr>
        <w:pStyle w:val="ListParagraph"/>
        <w:numPr>
          <w:ilvl w:val="0"/>
          <w:numId w:val="17"/>
        </w:numPr>
        <w:contextualSpacing/>
      </w:pPr>
      <w:r>
        <w:t>To have several Approved Suppliers that meet the requirements of the Department and Agencies to supply and carry out (or procure the supply and carrying out of) EVSE Works, EVSE Goods and EVSE Services</w:t>
      </w:r>
      <w:r w:rsidR="000D28D8">
        <w:t>.</w:t>
      </w:r>
    </w:p>
    <w:p w14:paraId="7309732A" w14:textId="3374554B" w:rsidR="00851D63" w:rsidRDefault="00851D63" w:rsidP="008F67B7">
      <w:pPr>
        <w:pStyle w:val="ListParagraph"/>
        <w:numPr>
          <w:ilvl w:val="0"/>
          <w:numId w:val="17"/>
        </w:numPr>
        <w:contextualSpacing/>
      </w:pPr>
      <w:r>
        <w:t>To have a simple process to add new Approved Suppliers</w:t>
      </w:r>
      <w:r w:rsidR="000D28D8">
        <w:t>.</w:t>
      </w:r>
    </w:p>
    <w:p w14:paraId="4C93FCBB" w14:textId="3988FEB8" w:rsidR="00851D63" w:rsidRDefault="00851D63" w:rsidP="008F67B7">
      <w:pPr>
        <w:pStyle w:val="ListParagraph"/>
        <w:numPr>
          <w:ilvl w:val="0"/>
          <w:numId w:val="17"/>
        </w:numPr>
        <w:contextualSpacing/>
      </w:pPr>
      <w:r>
        <w:t>To easily accommodate emerging technologies and consequent change of offerings</w:t>
      </w:r>
      <w:r w:rsidR="000D28D8">
        <w:t>.</w:t>
      </w:r>
    </w:p>
    <w:p w14:paraId="6453701E" w14:textId="112AE09B" w:rsidR="00851D63" w:rsidRDefault="00E96FD4" w:rsidP="008F67B7">
      <w:pPr>
        <w:pStyle w:val="ListParagraph"/>
        <w:numPr>
          <w:ilvl w:val="0"/>
          <w:numId w:val="17"/>
        </w:numPr>
        <w:contextualSpacing/>
      </w:pPr>
      <w:r>
        <w:t>T</w:t>
      </w:r>
      <w:r w:rsidR="00851D63">
        <w:t>o provide a simplified process to the Agencies to access suppliers that are prequalified to supply and carry out (or procure the supply and carrying out of) EVSE Works, EVSE Goods and EVSE Services</w:t>
      </w:r>
      <w:r>
        <w:t>.</w:t>
      </w:r>
    </w:p>
    <w:p w14:paraId="70011519" w14:textId="339B9C84" w:rsidR="00851D63" w:rsidRDefault="00E96FD4" w:rsidP="008F67B7">
      <w:pPr>
        <w:pStyle w:val="ListParagraph"/>
        <w:numPr>
          <w:ilvl w:val="0"/>
          <w:numId w:val="17"/>
        </w:numPr>
        <w:contextualSpacing/>
      </w:pPr>
      <w:r>
        <w:t>E</w:t>
      </w:r>
      <w:r w:rsidR="00851D63">
        <w:t>nsure value for money by including maximum rates for EVSE Works, EVSE Goods and EVSE Services.</w:t>
      </w:r>
    </w:p>
    <w:p w14:paraId="79F26C28" w14:textId="749356FE" w:rsidR="00866981" w:rsidRPr="002924C4" w:rsidRDefault="00D87A63" w:rsidP="008F67B7">
      <w:pPr>
        <w:pStyle w:val="ListParagraph"/>
        <w:numPr>
          <w:ilvl w:val="0"/>
          <w:numId w:val="17"/>
        </w:numPr>
        <w:contextualSpacing/>
      </w:pPr>
      <w:r>
        <w:t>Approved suppliers have agreed to the Standard form of Agreement terms and conditions.</w:t>
      </w:r>
    </w:p>
    <w:p w14:paraId="0ABC6828" w14:textId="0BB02064" w:rsidR="00C4086C" w:rsidRPr="005C2239" w:rsidRDefault="00C95D46" w:rsidP="005C2239">
      <w:pPr>
        <w:pStyle w:val="Heading1"/>
      </w:pPr>
      <w:bookmarkStart w:id="9" w:name="_Toc120776896"/>
      <w:r w:rsidRPr="005C2239">
        <w:t>3</w:t>
      </w:r>
      <w:r w:rsidRPr="005C2239">
        <w:tab/>
      </w:r>
      <w:r w:rsidR="00C4086C" w:rsidRPr="005C2239">
        <w:t>P</w:t>
      </w:r>
      <w:r w:rsidR="00F76FD8" w:rsidRPr="005C2239">
        <w:t>rocurement p</w:t>
      </w:r>
      <w:r w:rsidR="00C4086C" w:rsidRPr="005C2239">
        <w:t>lanning</w:t>
      </w:r>
      <w:bookmarkEnd w:id="9"/>
    </w:p>
    <w:p w14:paraId="0A55E274" w14:textId="53D060A5" w:rsidR="00776B39" w:rsidRPr="0022602D" w:rsidRDefault="00776B39" w:rsidP="005C2239">
      <w:pPr>
        <w:pStyle w:val="Heading2"/>
      </w:pPr>
      <w:bookmarkStart w:id="10" w:name="_Toc120776897"/>
      <w:r w:rsidRPr="0022602D">
        <w:t>3.1</w:t>
      </w:r>
      <w:r w:rsidR="006C5946">
        <w:tab/>
      </w:r>
      <w:r w:rsidRPr="0022602D">
        <w:t xml:space="preserve">Link to NSW Government </w:t>
      </w:r>
      <w:r w:rsidRPr="005C2239">
        <w:t>Procurement</w:t>
      </w:r>
      <w:r w:rsidRPr="0022602D">
        <w:t xml:space="preserve"> Framework</w:t>
      </w:r>
      <w:bookmarkEnd w:id="10"/>
    </w:p>
    <w:p w14:paraId="40A7E84A" w14:textId="2037ABE7" w:rsidR="00C11E95" w:rsidRDefault="00C4086C" w:rsidP="00C4086C">
      <w:r>
        <w:t xml:space="preserve">This </w:t>
      </w:r>
      <w:r w:rsidR="00833719">
        <w:t>Scheme</w:t>
      </w:r>
      <w:r>
        <w:t xml:space="preserve"> is relevant to </w:t>
      </w:r>
      <w:hyperlink r:id="rId24" w:history="1">
        <w:r w:rsidRPr="002B1086">
          <w:rPr>
            <w:rStyle w:val="Hyperlink"/>
          </w:rPr>
          <w:t xml:space="preserve">NSW Procurement’s </w:t>
        </w:r>
        <w:r>
          <w:rPr>
            <w:rStyle w:val="Hyperlink"/>
          </w:rPr>
          <w:t xml:space="preserve">Plan-Source-Manage </w:t>
        </w:r>
        <w:r w:rsidRPr="002B1086">
          <w:rPr>
            <w:rStyle w:val="Hyperlink"/>
          </w:rPr>
          <w:t>approach</w:t>
        </w:r>
      </w:hyperlink>
      <w:r>
        <w:t xml:space="preserve"> to procurement. It assists </w:t>
      </w:r>
      <w:r w:rsidR="004550F7">
        <w:t>A</w:t>
      </w:r>
      <w:r>
        <w:t xml:space="preserve">gencies in the planning phase to identify </w:t>
      </w:r>
      <w:r w:rsidR="00AB6222">
        <w:t>Supplier</w:t>
      </w:r>
      <w:r w:rsidR="004550F7">
        <w:t>s</w:t>
      </w:r>
      <w:r>
        <w:t xml:space="preserve"> who are suitability qualified to tender for </w:t>
      </w:r>
      <w:r w:rsidR="00464A91" w:rsidRPr="00464A91">
        <w:t>NSW Government Electric Vehicle Fleet Charging Infrastructure Prequalification Scheme</w:t>
      </w:r>
      <w:r>
        <w:t xml:space="preserve">. </w:t>
      </w:r>
    </w:p>
    <w:p w14:paraId="78F48791" w14:textId="05EF193D" w:rsidR="00C4086C" w:rsidRDefault="00C4086C" w:rsidP="00C4086C">
      <w:r>
        <w:t>Please note:</w:t>
      </w:r>
    </w:p>
    <w:p w14:paraId="72755902" w14:textId="4BAFCCA0" w:rsidR="00474965" w:rsidRDefault="00474965" w:rsidP="008F67B7">
      <w:pPr>
        <w:pStyle w:val="ListParagraph"/>
        <w:numPr>
          <w:ilvl w:val="0"/>
          <w:numId w:val="18"/>
        </w:numPr>
      </w:pPr>
      <w:r>
        <w:t>T</w:t>
      </w:r>
      <w:r w:rsidR="00C4086C">
        <w:t xml:space="preserve">he source and manage phases of procurement are outside of the scope of the </w:t>
      </w:r>
      <w:r w:rsidR="00833719">
        <w:t>Scheme</w:t>
      </w:r>
    </w:p>
    <w:p w14:paraId="4EF7D477" w14:textId="5747A442" w:rsidR="00320842" w:rsidRDefault="00195B85" w:rsidP="008F67B7">
      <w:pPr>
        <w:pStyle w:val="ListParagraph"/>
        <w:numPr>
          <w:ilvl w:val="0"/>
          <w:numId w:val="18"/>
        </w:numPr>
      </w:pPr>
      <w:r>
        <w:t>A</w:t>
      </w:r>
      <w:r w:rsidR="00C4086C">
        <w:t xml:space="preserve">gencies using this </w:t>
      </w:r>
      <w:r w:rsidR="00833719">
        <w:t>Scheme</w:t>
      </w:r>
      <w:r w:rsidR="00C4086C">
        <w:t xml:space="preserve"> are encouraged to develop their </w:t>
      </w:r>
      <w:r w:rsidR="00157880">
        <w:t>own sou</w:t>
      </w:r>
      <w:r w:rsidR="009C4BD6">
        <w:t>r</w:t>
      </w:r>
      <w:r w:rsidR="00157880">
        <w:t xml:space="preserve">cing strategies in accordance with the NSW </w:t>
      </w:r>
      <w:r w:rsidR="00B35357">
        <w:t>Procurement Policy Framework</w:t>
      </w:r>
      <w:r w:rsidR="007A5F6C">
        <w:t>.</w:t>
      </w:r>
    </w:p>
    <w:p w14:paraId="35B0023B" w14:textId="1A287D30" w:rsidR="00320842" w:rsidRDefault="00776B39" w:rsidP="005C2239">
      <w:pPr>
        <w:pStyle w:val="Heading2"/>
      </w:pPr>
      <w:bookmarkStart w:id="11" w:name="_Toc120776898"/>
      <w:r>
        <w:t>3.</w:t>
      </w:r>
      <w:r w:rsidR="00195B85">
        <w:t>2</w:t>
      </w:r>
      <w:r w:rsidR="00F2260D">
        <w:tab/>
      </w:r>
      <w:r w:rsidR="00320842">
        <w:t>Estimating the value of the procurement</w:t>
      </w:r>
      <w:bookmarkEnd w:id="11"/>
    </w:p>
    <w:p w14:paraId="14064FE4" w14:textId="7D337F6E" w:rsidR="003E5D31" w:rsidRPr="00D27401" w:rsidRDefault="007F41AF" w:rsidP="003E5D31">
      <w:pPr>
        <w:rPr>
          <w:color w:val="2C2B2B" w:themeColor="text1"/>
        </w:rPr>
      </w:pPr>
      <w:r>
        <w:t xml:space="preserve">Agencies need to assess the estimated value of their procurement </w:t>
      </w:r>
      <w:r w:rsidR="00A7526F">
        <w:t>to</w:t>
      </w:r>
      <w:r>
        <w:t xml:space="preserve"> determine </w:t>
      </w:r>
      <w:r w:rsidR="003E5D31">
        <w:t xml:space="preserve">what tendering rules </w:t>
      </w:r>
      <w:r w:rsidR="003E5D31">
        <w:rPr>
          <w:color w:val="2C2B2B" w:themeColor="text1"/>
        </w:rPr>
        <w:t>and</w:t>
      </w:r>
      <w:r w:rsidR="003E5D31" w:rsidRPr="00D27401">
        <w:rPr>
          <w:color w:val="2C2B2B" w:themeColor="text1"/>
        </w:rPr>
        <w:t xml:space="preserve"> quoting thresholds </w:t>
      </w:r>
      <w:r w:rsidR="003E5D31">
        <w:rPr>
          <w:color w:val="2C2B2B" w:themeColor="text1"/>
        </w:rPr>
        <w:t xml:space="preserve">they need to </w:t>
      </w:r>
      <w:r w:rsidR="00C46C0D">
        <w:rPr>
          <w:color w:val="2C2B2B" w:themeColor="text1"/>
        </w:rPr>
        <w:t>comply with. (Refer to section 6.2 Tendering Rules)</w:t>
      </w:r>
    </w:p>
    <w:p w14:paraId="01E7350E" w14:textId="6E58F4C9" w:rsidR="00CA4215" w:rsidRPr="007F41AF" w:rsidRDefault="00644C8B" w:rsidP="009D64EC">
      <w:r>
        <w:t>T</w:t>
      </w:r>
      <w:r w:rsidR="00CA4215" w:rsidRPr="007F41AF">
        <w:t>he estimated value of a procurement is an estimate of the maximum value</w:t>
      </w:r>
      <w:r w:rsidR="00326C4F">
        <w:t xml:space="preserve"> </w:t>
      </w:r>
      <w:r w:rsidR="00CA4215" w:rsidRPr="007F41AF">
        <w:t xml:space="preserve">(ex GST) of the proposed procurement contract made by the </w:t>
      </w:r>
      <w:r w:rsidR="00AB6222">
        <w:t>Agency</w:t>
      </w:r>
      <w:r w:rsidR="00CA4215" w:rsidRPr="007F41AF">
        <w:t>, and is to include the value of the following:</w:t>
      </w:r>
    </w:p>
    <w:p w14:paraId="4EBDE8E3" w14:textId="77777777" w:rsidR="00CA4215" w:rsidRPr="007F41AF" w:rsidRDefault="00CA4215" w:rsidP="008F67B7">
      <w:pPr>
        <w:pStyle w:val="ListParagraph"/>
        <w:numPr>
          <w:ilvl w:val="0"/>
          <w:numId w:val="19"/>
        </w:numPr>
      </w:pPr>
      <w:r w:rsidRPr="007F41AF">
        <w:t>the goods or services to be procured,</w:t>
      </w:r>
    </w:p>
    <w:p w14:paraId="580EFA88" w14:textId="77777777" w:rsidR="00CA4215" w:rsidRPr="007F41AF" w:rsidRDefault="00CA4215" w:rsidP="008F67B7">
      <w:pPr>
        <w:pStyle w:val="ListParagraph"/>
        <w:numPr>
          <w:ilvl w:val="0"/>
          <w:numId w:val="19"/>
        </w:numPr>
      </w:pPr>
      <w:r w:rsidRPr="007F41AF">
        <w:t xml:space="preserve">all forms of remuneration payable by the government </w:t>
      </w:r>
      <w:r w:rsidR="00AB6222">
        <w:t>Agency</w:t>
      </w:r>
      <w:r w:rsidRPr="007F41AF">
        <w:t>, including any</w:t>
      </w:r>
      <w:r w:rsidR="006D1AFF">
        <w:t xml:space="preserve"> </w:t>
      </w:r>
      <w:r w:rsidRPr="007F41AF">
        <w:t>premiums, fees, commissions, interest and other revenue streams that may be</w:t>
      </w:r>
      <w:r w:rsidR="006D1AFF">
        <w:t xml:space="preserve"> </w:t>
      </w:r>
      <w:r w:rsidRPr="007F41AF">
        <w:t>provided for in the proposed contract,</w:t>
      </w:r>
    </w:p>
    <w:p w14:paraId="069869F8" w14:textId="67197E4B" w:rsidR="007E25C1" w:rsidRDefault="00CA4215" w:rsidP="008F67B7">
      <w:pPr>
        <w:pStyle w:val="ListParagraph"/>
        <w:numPr>
          <w:ilvl w:val="0"/>
          <w:numId w:val="19"/>
        </w:numPr>
      </w:pPr>
      <w:r w:rsidRPr="007F41AF">
        <w:t>any options, extensions, renewals or other mechanisms that may be executed</w:t>
      </w:r>
      <w:r w:rsidR="006D1AFF">
        <w:t xml:space="preserve"> </w:t>
      </w:r>
      <w:r w:rsidRPr="007F41AF">
        <w:t>over the life of the contract.</w:t>
      </w:r>
    </w:p>
    <w:p w14:paraId="4C1F12F6" w14:textId="42477545" w:rsidR="007E25C1" w:rsidRDefault="00320842" w:rsidP="009D64EC">
      <w:r w:rsidRPr="007F41AF">
        <w:t>A procurement must not be divided into separate parts if a purpose of the division is</w:t>
      </w:r>
      <w:r w:rsidR="009D64EC">
        <w:t xml:space="preserve"> </w:t>
      </w:r>
      <w:r w:rsidRPr="007F41AF">
        <w:t>to avoid a relevant procurement threshold.</w:t>
      </w:r>
    </w:p>
    <w:p w14:paraId="3C96E71E" w14:textId="30309991" w:rsidR="00F27411" w:rsidRDefault="00F27411" w:rsidP="009D64EC"/>
    <w:p w14:paraId="6F91BA33" w14:textId="1DD0DCC3" w:rsidR="00D70F0F" w:rsidRDefault="00C95D46" w:rsidP="00D70F0F">
      <w:pPr>
        <w:pStyle w:val="Heading1"/>
      </w:pPr>
      <w:bookmarkStart w:id="12" w:name="_Toc120776899"/>
      <w:r>
        <w:lastRenderedPageBreak/>
        <w:t>4</w:t>
      </w:r>
      <w:r>
        <w:tab/>
      </w:r>
      <w:r w:rsidR="00D70F0F">
        <w:t>Work Categor</w:t>
      </w:r>
      <w:r w:rsidR="00C46C0D">
        <w:t>y</w:t>
      </w:r>
      <w:bookmarkEnd w:id="12"/>
      <w:r w:rsidR="00C46C0D">
        <w:t xml:space="preserve"> </w:t>
      </w:r>
    </w:p>
    <w:p w14:paraId="44A133CF" w14:textId="3C733F12" w:rsidR="00D70F0F" w:rsidRDefault="00D70F0F" w:rsidP="00D70F0F">
      <w:pPr>
        <w:pStyle w:val="Heading2"/>
      </w:pPr>
      <w:bookmarkStart w:id="13" w:name="_Toc11319151"/>
      <w:bookmarkStart w:id="14" w:name="_Toc54877988"/>
      <w:bookmarkStart w:id="15" w:name="_Toc120776900"/>
      <w:r>
        <w:t>4.1</w:t>
      </w:r>
      <w:r>
        <w:tab/>
      </w:r>
      <w:bookmarkEnd w:id="13"/>
      <w:bookmarkEnd w:id="14"/>
      <w:r w:rsidR="00F23DD0" w:rsidRPr="00F23DD0">
        <w:t>Capability A – Electric Vehicle Supply Equipment (EVSE) Goods, Works and Services</w:t>
      </w:r>
      <w:bookmarkEnd w:id="15"/>
    </w:p>
    <w:p w14:paraId="2C4772FA" w14:textId="51B702AF" w:rsidR="00C46C0D" w:rsidRPr="00C46C0D" w:rsidRDefault="00C46C0D" w:rsidP="00A05F74">
      <w:r>
        <w:t>Capability A incorporates all works relating to A1, A2, A3 and A4 as defined below;</w:t>
      </w:r>
    </w:p>
    <w:p w14:paraId="105069CF" w14:textId="77777777" w:rsidR="00B23BE1" w:rsidRDefault="00B23BE1" w:rsidP="00B23BE1">
      <w:r>
        <w:t>A1. EVSE Goods</w:t>
      </w:r>
    </w:p>
    <w:p w14:paraId="77F7EE75" w14:textId="056D2235" w:rsidR="00B23BE1" w:rsidRDefault="00B23BE1" w:rsidP="00B23BE1">
      <w:r>
        <w:t>Supply of EV chargers, including AC EV charger (7kW to 22kW), and/or DC EV charger (25kW to 150 kW), load management controller, and other hardware to charge electric vehicles to cater for fleet operation needs. The EVSE Goods must comply with the specifications as defined in EVSE Goods, Works and Services Specification Document.</w:t>
      </w:r>
    </w:p>
    <w:p w14:paraId="7D83EA8C" w14:textId="77777777" w:rsidR="00B23BE1" w:rsidRDefault="00B23BE1" w:rsidP="00B23BE1"/>
    <w:p w14:paraId="48C9FA5D" w14:textId="77777777" w:rsidR="00B23BE1" w:rsidRDefault="00B23BE1" w:rsidP="00B23BE1">
      <w:r>
        <w:t>A2. EVSE Works</w:t>
      </w:r>
    </w:p>
    <w:p w14:paraId="0796A538" w14:textId="56A48811" w:rsidR="00B23BE1" w:rsidRDefault="00B23BE1" w:rsidP="00B23BE1">
      <w:r>
        <w:t xml:space="preserve">Carry out of civil and electrical installation works and materials to setup up EVSEs in a site, works including but not limited to, site inspection, installation physical design, site backbone electrical infrastructure upgrade (if required), cable conduit, wire routing, EVSEs installation, IT network integration with EVSEs. Carry out the commissioning services to thoroughly test, operate and calibrate the EVSEs to ensure all EV charging functions in accordance with relevant standards and manufacturer’s specifications. </w:t>
      </w:r>
    </w:p>
    <w:p w14:paraId="394D0A3E" w14:textId="77777777" w:rsidR="00B23BE1" w:rsidRDefault="00B23BE1" w:rsidP="00B23BE1">
      <w:r>
        <w:t>Ensure that EVSEs integrate with the Charging Management Platform (CMP) and support all data communication, reporting and operation requirements.</w:t>
      </w:r>
    </w:p>
    <w:p w14:paraId="5B8ECF81" w14:textId="77777777" w:rsidR="00B23BE1" w:rsidRDefault="00B23BE1" w:rsidP="00B23BE1">
      <w:r>
        <w:t>Meet all electrical safety, power loading and structural maintenance requirements of site backbone electrical infrastructure. Perform installation checks and test services to ensure compliance with the specifications as defined in EVSE Goods, Works and Services Specification Document. The Works must be carried out in accordance to standards of workmanship and work methods which conform with all, relevant Australian Standards, codes of practice and the lawful requirements, including holding all required licenses and certifications.</w:t>
      </w:r>
    </w:p>
    <w:p w14:paraId="10BB5FAF" w14:textId="77777777" w:rsidR="00B23BE1" w:rsidRDefault="00B23BE1" w:rsidP="00B23BE1"/>
    <w:p w14:paraId="7F526B8D" w14:textId="77777777" w:rsidR="00B23BE1" w:rsidRDefault="00B23BE1" w:rsidP="00B23BE1">
      <w:r>
        <w:t>A3. Maintenance Services</w:t>
      </w:r>
    </w:p>
    <w:p w14:paraId="6D9B72F6" w14:textId="2C7A4ECB" w:rsidR="00D70F0F" w:rsidRDefault="00B23BE1" w:rsidP="00B23BE1">
      <w:r>
        <w:t>Maintenance of EVSEs and other works associated, including EVSE inspection, servicing, repairs, resolving data communication with CMP, fixing warranty issues, helpdesk support and tracking maintenance requests.</w:t>
      </w:r>
      <w:r w:rsidR="00D70F0F">
        <w:t xml:space="preserve"> </w:t>
      </w:r>
    </w:p>
    <w:p w14:paraId="3224CFDC" w14:textId="77777777" w:rsidR="00904FF2" w:rsidRDefault="00904FF2" w:rsidP="00B23BE1"/>
    <w:p w14:paraId="12A2208C" w14:textId="663AC02E" w:rsidR="00904FF2" w:rsidRDefault="00904FF2" w:rsidP="00904FF2">
      <w:r>
        <w:t>A4. Charging-as-a-Service (CAAS) - OPTIONAL</w:t>
      </w:r>
    </w:p>
    <w:p w14:paraId="70C751C7" w14:textId="77777777" w:rsidR="00904FF2" w:rsidRDefault="00904FF2" w:rsidP="00904FF2">
      <w:r>
        <w:t>Supply of a subscription-based service model allowing a $/kWh fee to be paid per charge, or weekly/monthly/annual fee per EVSE/vehicle over a fixed term period, or a standard parking fee coupled with charger access.  The subscription model includes turnkey EV charging stations and associated system, driver support and professional field maintenance. Applicants are encouraged to provide details and information about their subscription service model offerings.</w:t>
      </w:r>
    </w:p>
    <w:p w14:paraId="021B574D" w14:textId="34D63AF2" w:rsidR="00DC4C45" w:rsidRDefault="00DC4C45">
      <w:pPr>
        <w:spacing w:before="0" w:after="160" w:line="259" w:lineRule="auto"/>
        <w:rPr>
          <w:rFonts w:eastAsiaTheme="minorEastAsia" w:cs="Arial"/>
          <w:color w:val="2C2B2B" w:themeColor="text1"/>
          <w:szCs w:val="24"/>
          <w:lang w:val="en-US"/>
        </w:rPr>
      </w:pPr>
    </w:p>
    <w:p w14:paraId="2EE2C236" w14:textId="53201103" w:rsidR="00C4086C" w:rsidRDefault="00D70F0F" w:rsidP="005C2239">
      <w:pPr>
        <w:pStyle w:val="Heading1"/>
      </w:pPr>
      <w:bookmarkStart w:id="16" w:name="_Toc120776901"/>
      <w:r>
        <w:lastRenderedPageBreak/>
        <w:t>5</w:t>
      </w:r>
      <w:r>
        <w:tab/>
      </w:r>
      <w:r w:rsidR="00C4086C">
        <w:t xml:space="preserve">Using the </w:t>
      </w:r>
      <w:r w:rsidR="00833719">
        <w:t>Scheme</w:t>
      </w:r>
      <w:bookmarkEnd w:id="16"/>
    </w:p>
    <w:p w14:paraId="1449A190" w14:textId="5F828475" w:rsidR="004A471B" w:rsidRDefault="00CF370D" w:rsidP="004A471B">
      <w:pPr>
        <w:pStyle w:val="Heading2"/>
      </w:pPr>
      <w:bookmarkStart w:id="17" w:name="_Toc120776902"/>
      <w:r>
        <w:t>5</w:t>
      </w:r>
      <w:r w:rsidR="004A0892">
        <w:t>.1</w:t>
      </w:r>
      <w:r w:rsidR="004A0892">
        <w:tab/>
      </w:r>
      <w:r w:rsidR="00AB6222">
        <w:t>Supplier</w:t>
      </w:r>
      <w:r w:rsidR="004A471B">
        <w:t xml:space="preserve">s who are included on the </w:t>
      </w:r>
      <w:r w:rsidR="00833719">
        <w:t>Scheme</w:t>
      </w:r>
      <w:bookmarkEnd w:id="17"/>
    </w:p>
    <w:p w14:paraId="67C7D0C6" w14:textId="63D1FE09" w:rsidR="004A471B" w:rsidRDefault="001051D4" w:rsidP="004A471B">
      <w:r>
        <w:t xml:space="preserve">NSW agencies, local councils and universities </w:t>
      </w:r>
      <w:r w:rsidR="004A471B">
        <w:t xml:space="preserve">can view current </w:t>
      </w:r>
      <w:r w:rsidR="00AB6222">
        <w:t>Supplier</w:t>
      </w:r>
      <w:r w:rsidR="004A471B">
        <w:t>s</w:t>
      </w:r>
      <w:r w:rsidR="009533A3" w:rsidRPr="009533A3">
        <w:t xml:space="preserve"> </w:t>
      </w:r>
      <w:r w:rsidR="009533A3">
        <w:t>included on the Scheme</w:t>
      </w:r>
      <w:r>
        <w:t xml:space="preserve"> by </w:t>
      </w:r>
      <w:r w:rsidR="009533A3" w:rsidRPr="0018647B">
        <w:t>lo</w:t>
      </w:r>
      <w:r>
        <w:t>g</w:t>
      </w:r>
      <w:r w:rsidR="009533A3" w:rsidRPr="0018647B">
        <w:t>g</w:t>
      </w:r>
      <w:r>
        <w:t>ing</w:t>
      </w:r>
      <w:r w:rsidR="009533A3" w:rsidRPr="0018647B">
        <w:t xml:space="preserve"> in to </w:t>
      </w:r>
      <w:hyperlink r:id="rId25" w:history="1">
        <w:r w:rsidR="009533A3" w:rsidRPr="00EC0851">
          <w:rPr>
            <w:rStyle w:val="Hyperlink"/>
          </w:rPr>
          <w:t>Supplier Hub</w:t>
        </w:r>
      </w:hyperlink>
      <w:r w:rsidR="009533A3">
        <w:t xml:space="preserve"> as a buyer</w:t>
      </w:r>
      <w:r w:rsidR="004A471B">
        <w:t>.</w:t>
      </w:r>
    </w:p>
    <w:p w14:paraId="2A566809" w14:textId="0FC6BF75" w:rsidR="00320842" w:rsidRDefault="00CF370D" w:rsidP="004A471B">
      <w:pPr>
        <w:pStyle w:val="Heading2"/>
      </w:pPr>
      <w:bookmarkStart w:id="18" w:name="_Toc120776903"/>
      <w:r>
        <w:t>5</w:t>
      </w:r>
      <w:r w:rsidR="004A471B">
        <w:t>.2</w:t>
      </w:r>
      <w:r w:rsidR="004A471B">
        <w:tab/>
      </w:r>
      <w:r w:rsidR="005B3C85">
        <w:t xml:space="preserve">Conditions </w:t>
      </w:r>
      <w:r w:rsidR="00CF4EF3">
        <w:t>for Prequal</w:t>
      </w:r>
      <w:r w:rsidR="00911D2E">
        <w:t>i</w:t>
      </w:r>
      <w:r w:rsidR="00CF4EF3">
        <w:t>fication on the scheme</w:t>
      </w:r>
      <w:bookmarkEnd w:id="18"/>
      <w:r w:rsidR="00CF4EF3">
        <w:t xml:space="preserve"> </w:t>
      </w:r>
    </w:p>
    <w:p w14:paraId="586CCB02" w14:textId="25C77CE8" w:rsidR="00AB6A18" w:rsidRPr="0083309B" w:rsidRDefault="00E43713" w:rsidP="006B5B59">
      <w:r>
        <w:t xml:space="preserve">Agencies can have confidence that </w:t>
      </w:r>
      <w:r w:rsidR="0055714A">
        <w:t xml:space="preserve">Approved </w:t>
      </w:r>
      <w:r w:rsidR="00AB6222">
        <w:t>Supplier</w:t>
      </w:r>
      <w:r>
        <w:t xml:space="preserve">s </w:t>
      </w:r>
      <w:r w:rsidR="0055714A">
        <w:t>have been assessed by a scheme evaluation committee against the following criteria and method of assessments to become an approved supplier of the scheme.</w:t>
      </w:r>
    </w:p>
    <w:p w14:paraId="10F7C4EA" w14:textId="507B073B" w:rsidR="00CD66F1" w:rsidRDefault="003A33E7" w:rsidP="006B0BF7">
      <w:pPr>
        <w:rPr>
          <w:color w:val="000000"/>
          <w:szCs w:val="40"/>
          <w:lang w:eastAsia="en-AU"/>
        </w:rPr>
      </w:pPr>
      <w:r>
        <w:rPr>
          <w:color w:val="000000"/>
          <w:szCs w:val="40"/>
          <w:lang w:eastAsia="en-AU"/>
        </w:rPr>
        <w:t>Under the scheme a</w:t>
      </w:r>
      <w:r w:rsidR="006B0BF7" w:rsidRPr="006B0BF7">
        <w:rPr>
          <w:color w:val="000000"/>
          <w:szCs w:val="40"/>
          <w:lang w:eastAsia="en-AU"/>
        </w:rPr>
        <w:t xml:space="preserve">pplicants </w:t>
      </w:r>
      <w:r>
        <w:rPr>
          <w:color w:val="000000"/>
          <w:szCs w:val="40"/>
          <w:lang w:eastAsia="en-AU"/>
        </w:rPr>
        <w:t>have</w:t>
      </w:r>
      <w:r w:rsidRPr="006B0BF7">
        <w:rPr>
          <w:color w:val="000000"/>
          <w:szCs w:val="40"/>
          <w:lang w:eastAsia="en-AU"/>
        </w:rPr>
        <w:t xml:space="preserve"> </w:t>
      </w:r>
      <w:r w:rsidR="006B0BF7" w:rsidRPr="006B0BF7">
        <w:rPr>
          <w:color w:val="000000"/>
          <w:szCs w:val="40"/>
          <w:lang w:eastAsia="en-AU"/>
        </w:rPr>
        <w:t>provide</w:t>
      </w:r>
      <w:r>
        <w:rPr>
          <w:color w:val="000000"/>
          <w:szCs w:val="40"/>
          <w:lang w:eastAsia="en-AU"/>
        </w:rPr>
        <w:t>d their company</w:t>
      </w:r>
      <w:r w:rsidR="006B0BF7" w:rsidRPr="006B0BF7">
        <w:rPr>
          <w:color w:val="000000"/>
          <w:szCs w:val="40"/>
          <w:lang w:eastAsia="en-AU"/>
        </w:rPr>
        <w:t xml:space="preserve"> Rate Card (maximum rates and prices) for </w:t>
      </w:r>
      <w:r>
        <w:rPr>
          <w:color w:val="000000"/>
          <w:szCs w:val="40"/>
          <w:lang w:eastAsia="en-AU"/>
        </w:rPr>
        <w:t>G</w:t>
      </w:r>
      <w:r w:rsidR="006B0BF7" w:rsidRPr="006B0BF7">
        <w:rPr>
          <w:color w:val="000000"/>
          <w:szCs w:val="40"/>
          <w:lang w:eastAsia="en-AU"/>
        </w:rPr>
        <w:t>oods</w:t>
      </w:r>
      <w:r>
        <w:rPr>
          <w:color w:val="000000"/>
          <w:szCs w:val="40"/>
          <w:lang w:eastAsia="en-AU"/>
        </w:rPr>
        <w:t>, Works and Se</w:t>
      </w:r>
      <w:r w:rsidR="006B0BF7" w:rsidRPr="006B0BF7">
        <w:rPr>
          <w:color w:val="000000"/>
          <w:szCs w:val="40"/>
          <w:lang w:eastAsia="en-AU"/>
        </w:rPr>
        <w:t>rvices delivered under capability A</w:t>
      </w:r>
      <w:r>
        <w:rPr>
          <w:color w:val="000000"/>
          <w:szCs w:val="40"/>
          <w:lang w:eastAsia="en-AU"/>
        </w:rPr>
        <w:t>.</w:t>
      </w:r>
      <w:r w:rsidR="006B5B59">
        <w:rPr>
          <w:color w:val="000000"/>
          <w:szCs w:val="40"/>
          <w:lang w:eastAsia="en-AU"/>
        </w:rPr>
        <w:t xml:space="preserve"> </w:t>
      </w:r>
      <w:r w:rsidR="002A6298">
        <w:rPr>
          <w:color w:val="000000"/>
          <w:szCs w:val="40"/>
          <w:lang w:eastAsia="en-AU"/>
        </w:rPr>
        <w:t xml:space="preserve">This </w:t>
      </w:r>
      <w:r w:rsidR="002A6298" w:rsidRPr="002A6298">
        <w:rPr>
          <w:color w:val="000000"/>
          <w:szCs w:val="40"/>
          <w:lang w:eastAsia="en-AU"/>
        </w:rPr>
        <w:t>ensure</w:t>
      </w:r>
      <w:r w:rsidR="002A6298">
        <w:rPr>
          <w:color w:val="000000"/>
          <w:szCs w:val="40"/>
          <w:lang w:eastAsia="en-AU"/>
        </w:rPr>
        <w:t>s</w:t>
      </w:r>
      <w:r w:rsidR="002A6298" w:rsidRPr="002A6298">
        <w:rPr>
          <w:color w:val="000000"/>
          <w:szCs w:val="40"/>
          <w:lang w:eastAsia="en-AU"/>
        </w:rPr>
        <w:t xml:space="preserve"> value for money by including maximum rates for EVSE Works, EVSE Goods and EVSE Services.</w:t>
      </w:r>
    </w:p>
    <w:p w14:paraId="5581F318" w14:textId="77777777" w:rsidR="002A6298" w:rsidRDefault="002A6298" w:rsidP="006B0BF7">
      <w:pPr>
        <w:rPr>
          <w:color w:val="000000"/>
          <w:szCs w:val="40"/>
          <w:lang w:eastAsia="en-AU"/>
        </w:rPr>
      </w:pPr>
    </w:p>
    <w:tbl>
      <w:tblPr>
        <w:tblStyle w:val="TableGrid"/>
        <w:tblW w:w="0" w:type="auto"/>
        <w:tblLook w:val="04A0" w:firstRow="1" w:lastRow="0" w:firstColumn="1" w:lastColumn="0" w:noHBand="0" w:noVBand="1"/>
      </w:tblPr>
      <w:tblGrid>
        <w:gridCol w:w="4790"/>
        <w:gridCol w:w="4848"/>
      </w:tblGrid>
      <w:tr w:rsidR="00CF4EF3" w:rsidRPr="00DD6874" w14:paraId="72DD13E9" w14:textId="77777777" w:rsidTr="00CD66F1">
        <w:trPr>
          <w:cnfStyle w:val="100000000000" w:firstRow="1" w:lastRow="0" w:firstColumn="0" w:lastColumn="0" w:oddVBand="0" w:evenVBand="0" w:oddHBand="0" w:evenHBand="0" w:firstRowFirstColumn="0" w:firstRowLastColumn="0" w:lastRowFirstColumn="0" w:lastRowLastColumn="0"/>
        </w:trPr>
        <w:tc>
          <w:tcPr>
            <w:tcW w:w="4790" w:type="dxa"/>
          </w:tcPr>
          <w:p w14:paraId="2AD9080E" w14:textId="1F809F99" w:rsidR="00CF4EF3" w:rsidRPr="001631F7" w:rsidRDefault="00971A8B" w:rsidP="008D6463">
            <w:pPr>
              <w:pStyle w:val="Default"/>
              <w:rPr>
                <w:rFonts w:asciiTheme="minorHAnsi" w:hAnsiTheme="minorHAnsi" w:cstheme="minorBidi"/>
                <w:b w:val="0"/>
                <w:color w:val="auto"/>
                <w:sz w:val="22"/>
                <w:szCs w:val="22"/>
              </w:rPr>
            </w:pPr>
            <w:r>
              <w:rPr>
                <w:rFonts w:asciiTheme="minorHAnsi" w:hAnsiTheme="minorHAnsi" w:cstheme="minorBidi"/>
                <w:bCs/>
                <w:color w:val="auto"/>
                <w:sz w:val="22"/>
                <w:szCs w:val="22"/>
              </w:rPr>
              <w:t xml:space="preserve">Application </w:t>
            </w:r>
            <w:r w:rsidR="00CF4EF3" w:rsidRPr="001631F7">
              <w:rPr>
                <w:rFonts w:asciiTheme="minorHAnsi" w:hAnsiTheme="minorHAnsi" w:cstheme="minorBidi"/>
                <w:bCs/>
                <w:color w:val="auto"/>
                <w:sz w:val="22"/>
                <w:szCs w:val="22"/>
              </w:rPr>
              <w:t>Evaluation Criteria</w:t>
            </w:r>
          </w:p>
        </w:tc>
        <w:tc>
          <w:tcPr>
            <w:tcW w:w="4848" w:type="dxa"/>
          </w:tcPr>
          <w:p w14:paraId="6316C665" w14:textId="65145E7D" w:rsidR="00CF4EF3" w:rsidRPr="001631F7" w:rsidRDefault="00CF4EF3" w:rsidP="008D6463">
            <w:pPr>
              <w:pStyle w:val="Default"/>
              <w:rPr>
                <w:rFonts w:asciiTheme="minorHAnsi" w:hAnsiTheme="minorHAnsi" w:cstheme="minorBidi"/>
                <w:b w:val="0"/>
                <w:color w:val="auto"/>
                <w:sz w:val="22"/>
                <w:szCs w:val="22"/>
              </w:rPr>
            </w:pPr>
            <w:r w:rsidRPr="001631F7">
              <w:rPr>
                <w:rFonts w:asciiTheme="minorHAnsi" w:hAnsiTheme="minorHAnsi" w:cstheme="minorBidi"/>
                <w:color w:val="auto"/>
                <w:sz w:val="22"/>
                <w:szCs w:val="22"/>
              </w:rPr>
              <w:t>Method</w:t>
            </w:r>
            <w:r w:rsidR="000D271D">
              <w:rPr>
                <w:rFonts w:asciiTheme="minorHAnsi" w:hAnsiTheme="minorHAnsi" w:cstheme="minorBidi"/>
                <w:color w:val="auto"/>
                <w:sz w:val="22"/>
                <w:szCs w:val="22"/>
              </w:rPr>
              <w:t xml:space="preserve"> of</w:t>
            </w:r>
            <w:r w:rsidRPr="001631F7">
              <w:rPr>
                <w:rFonts w:asciiTheme="minorHAnsi" w:hAnsiTheme="minorHAnsi" w:cstheme="minorBidi"/>
                <w:color w:val="auto"/>
                <w:sz w:val="22"/>
                <w:szCs w:val="22"/>
              </w:rPr>
              <w:t xml:space="preserve"> assessment </w:t>
            </w:r>
          </w:p>
          <w:p w14:paraId="7BC5EB34" w14:textId="77777777" w:rsidR="00CF4EF3" w:rsidRPr="001631F7" w:rsidRDefault="00CF4EF3" w:rsidP="008D6463">
            <w:pPr>
              <w:spacing w:after="160" w:line="259" w:lineRule="auto"/>
              <w:rPr>
                <w:rFonts w:asciiTheme="minorHAnsi" w:eastAsiaTheme="minorEastAsia" w:hAnsiTheme="minorHAnsi"/>
                <w:b w:val="0"/>
                <w:color w:val="auto"/>
                <w:sz w:val="22"/>
              </w:rPr>
            </w:pPr>
          </w:p>
        </w:tc>
      </w:tr>
      <w:tr w:rsidR="00C0505A" w:rsidRPr="00DD6874" w14:paraId="3882B995" w14:textId="77777777" w:rsidTr="00CD66F1">
        <w:tc>
          <w:tcPr>
            <w:tcW w:w="4790" w:type="dxa"/>
          </w:tcPr>
          <w:p w14:paraId="0715F404" w14:textId="6AFEDC96" w:rsidR="00C0505A" w:rsidRPr="009D7BC0" w:rsidRDefault="00C0505A" w:rsidP="00C0505A">
            <w:pPr>
              <w:rPr>
                <w:rFonts w:eastAsiaTheme="minorEastAsia" w:cs="Arial"/>
                <w:szCs w:val="20"/>
              </w:rPr>
            </w:pPr>
            <w:r w:rsidRPr="009D7BC0">
              <w:rPr>
                <w:rFonts w:eastAsiaTheme="minorEastAsia" w:cs="Arial"/>
                <w:szCs w:val="20"/>
              </w:rPr>
              <w:t>Company &amp; Capability details</w:t>
            </w:r>
          </w:p>
        </w:tc>
        <w:tc>
          <w:tcPr>
            <w:tcW w:w="4848" w:type="dxa"/>
          </w:tcPr>
          <w:p w14:paraId="4E61596F" w14:textId="77777777" w:rsidR="00C0505A" w:rsidRPr="009D7BC0" w:rsidRDefault="00C0505A" w:rsidP="00C0505A">
            <w:pPr>
              <w:pStyle w:val="Default"/>
              <w:numPr>
                <w:ilvl w:val="0"/>
                <w:numId w:val="7"/>
              </w:numPr>
              <w:ind w:left="360"/>
              <w:rPr>
                <w:rFonts w:ascii="Arial" w:hAnsi="Arial" w:cs="Arial"/>
                <w:color w:val="auto"/>
                <w:sz w:val="20"/>
                <w:szCs w:val="20"/>
              </w:rPr>
            </w:pPr>
            <w:r w:rsidRPr="009D7BC0">
              <w:rPr>
                <w:rFonts w:ascii="Arial" w:hAnsi="Arial" w:cs="Arial"/>
                <w:color w:val="auto"/>
                <w:sz w:val="20"/>
                <w:szCs w:val="20"/>
              </w:rPr>
              <w:t>Whether the Applicant has provided a complete response to the information requested in the Company and Capability template.</w:t>
            </w:r>
          </w:p>
          <w:p w14:paraId="07B0C361" w14:textId="77777777" w:rsidR="00C0505A" w:rsidRPr="009D7BC0" w:rsidRDefault="00C0505A" w:rsidP="00C0505A">
            <w:pPr>
              <w:pStyle w:val="Default"/>
              <w:numPr>
                <w:ilvl w:val="0"/>
                <w:numId w:val="7"/>
              </w:numPr>
              <w:ind w:left="360"/>
              <w:rPr>
                <w:rFonts w:ascii="Arial" w:hAnsi="Arial" w:cs="Arial"/>
                <w:color w:val="auto"/>
                <w:sz w:val="20"/>
                <w:szCs w:val="20"/>
              </w:rPr>
            </w:pPr>
            <w:r w:rsidRPr="009D7BC0">
              <w:rPr>
                <w:rFonts w:ascii="Arial" w:hAnsi="Arial" w:cs="Arial"/>
                <w:color w:val="auto"/>
                <w:sz w:val="20"/>
                <w:szCs w:val="20"/>
              </w:rPr>
              <w:t>Whether the company has the capability to deliver Capability A – EVSE Goods, Works and Services, either directly through its own internal Capability or via the engagement of any associated entities, sub-contractors and suppliers for whom the applicant remains responsible for under any Project Agreement that is formed.</w:t>
            </w:r>
          </w:p>
          <w:p w14:paraId="703EE922" w14:textId="02DFB635" w:rsidR="00C0505A" w:rsidRPr="009D7BC0" w:rsidRDefault="00C0505A" w:rsidP="003B29D3">
            <w:pPr>
              <w:pStyle w:val="Default"/>
              <w:numPr>
                <w:ilvl w:val="0"/>
                <w:numId w:val="7"/>
              </w:numPr>
              <w:ind w:left="360"/>
              <w:rPr>
                <w:rFonts w:ascii="Arial" w:hAnsi="Arial" w:cs="Arial"/>
                <w:color w:val="auto"/>
                <w:sz w:val="20"/>
                <w:szCs w:val="20"/>
              </w:rPr>
            </w:pPr>
            <w:r w:rsidRPr="009D7BC0">
              <w:rPr>
                <w:rFonts w:ascii="Arial" w:hAnsi="Arial" w:cs="Arial"/>
                <w:color w:val="auto"/>
                <w:sz w:val="20"/>
                <w:szCs w:val="20"/>
              </w:rPr>
              <w:t>Whether the company’s key personnel, hold relevant qualifications/licenses and experience relating to delivery of Capability A – EVSE Goods, Works and Services.</w:t>
            </w:r>
          </w:p>
        </w:tc>
      </w:tr>
      <w:tr w:rsidR="00C0505A" w:rsidRPr="00DD6874" w14:paraId="21A3A027" w14:textId="77777777" w:rsidTr="00CD66F1">
        <w:tc>
          <w:tcPr>
            <w:tcW w:w="4790" w:type="dxa"/>
          </w:tcPr>
          <w:p w14:paraId="27B1C328" w14:textId="053751B7" w:rsidR="00C0505A" w:rsidRPr="009D7BC0" w:rsidRDefault="00C0505A" w:rsidP="00574BF0">
            <w:pPr>
              <w:rPr>
                <w:rFonts w:eastAsiaTheme="minorEastAsia" w:cs="Arial"/>
                <w:szCs w:val="20"/>
              </w:rPr>
            </w:pPr>
            <w:r w:rsidRPr="009D7BC0">
              <w:rPr>
                <w:rFonts w:eastAsiaTheme="minorEastAsia" w:cs="Arial"/>
                <w:szCs w:val="20"/>
              </w:rPr>
              <w:t>Compliance to specifications</w:t>
            </w:r>
          </w:p>
        </w:tc>
        <w:tc>
          <w:tcPr>
            <w:tcW w:w="4848" w:type="dxa"/>
          </w:tcPr>
          <w:p w14:paraId="6998AFF8" w14:textId="1ECE7C1D" w:rsidR="00C0505A" w:rsidRPr="009D7BC0" w:rsidRDefault="00C0505A" w:rsidP="000D271D">
            <w:pPr>
              <w:pStyle w:val="Default"/>
              <w:numPr>
                <w:ilvl w:val="0"/>
                <w:numId w:val="7"/>
              </w:numPr>
              <w:ind w:left="360"/>
              <w:rPr>
                <w:rFonts w:ascii="Arial" w:hAnsi="Arial" w:cs="Arial"/>
                <w:color w:val="auto"/>
                <w:sz w:val="20"/>
                <w:szCs w:val="20"/>
              </w:rPr>
            </w:pPr>
            <w:r w:rsidRPr="009D7BC0">
              <w:rPr>
                <w:rFonts w:ascii="Arial" w:hAnsi="Arial" w:cs="Arial"/>
                <w:color w:val="auto"/>
                <w:sz w:val="20"/>
                <w:szCs w:val="20"/>
              </w:rPr>
              <w:t>Whether the Applicant has confirmed “Yes” that they comply with the EVSE Specification.</w:t>
            </w:r>
          </w:p>
        </w:tc>
      </w:tr>
      <w:tr w:rsidR="00C0505A" w:rsidRPr="00DD6874" w14:paraId="7CF16F34" w14:textId="77777777" w:rsidTr="00CD66F1">
        <w:tc>
          <w:tcPr>
            <w:tcW w:w="4790" w:type="dxa"/>
          </w:tcPr>
          <w:p w14:paraId="1D43B097" w14:textId="727C2C17" w:rsidR="00C0505A" w:rsidRPr="00967B03" w:rsidRDefault="00C0505A" w:rsidP="00C0505A">
            <w:pPr>
              <w:rPr>
                <w:rFonts w:eastAsiaTheme="minorEastAsia" w:cs="Arial"/>
                <w:szCs w:val="20"/>
              </w:rPr>
            </w:pPr>
            <w:r w:rsidRPr="00967B03">
              <w:rPr>
                <w:rFonts w:eastAsiaTheme="minorEastAsia" w:cs="Arial"/>
                <w:szCs w:val="20"/>
              </w:rPr>
              <w:t>Company experience</w:t>
            </w:r>
          </w:p>
        </w:tc>
        <w:tc>
          <w:tcPr>
            <w:tcW w:w="4848" w:type="dxa"/>
          </w:tcPr>
          <w:p w14:paraId="20B45A1B" w14:textId="77777777" w:rsidR="00C0505A" w:rsidRPr="00574BF0" w:rsidRDefault="00C0505A" w:rsidP="00C0505A">
            <w:pPr>
              <w:pStyle w:val="Default"/>
              <w:numPr>
                <w:ilvl w:val="0"/>
                <w:numId w:val="8"/>
              </w:numPr>
              <w:ind w:left="360"/>
              <w:rPr>
                <w:rFonts w:ascii="Arial" w:hAnsi="Arial" w:cs="Arial"/>
                <w:color w:val="auto"/>
                <w:sz w:val="20"/>
                <w:szCs w:val="20"/>
              </w:rPr>
            </w:pPr>
            <w:r w:rsidRPr="00574BF0">
              <w:rPr>
                <w:rFonts w:ascii="Arial" w:hAnsi="Arial" w:cs="Arial"/>
                <w:color w:val="auto"/>
                <w:sz w:val="20"/>
                <w:szCs w:val="20"/>
              </w:rPr>
              <w:t>Whether the Applicant has provided a complete response to the information requested in the Company Experience template.</w:t>
            </w:r>
          </w:p>
          <w:p w14:paraId="48DA6214" w14:textId="3143B3F1" w:rsidR="00C0505A" w:rsidRPr="00574BF0" w:rsidRDefault="00C0505A" w:rsidP="00574BF0">
            <w:pPr>
              <w:pStyle w:val="Default"/>
              <w:numPr>
                <w:ilvl w:val="0"/>
                <w:numId w:val="8"/>
              </w:numPr>
              <w:ind w:left="360"/>
              <w:rPr>
                <w:rFonts w:asciiTheme="minorHAnsi" w:hAnsiTheme="minorHAnsi" w:cstheme="minorBidi"/>
                <w:color w:val="auto"/>
                <w:sz w:val="22"/>
                <w:szCs w:val="22"/>
              </w:rPr>
            </w:pPr>
            <w:r w:rsidRPr="00574BF0">
              <w:rPr>
                <w:rFonts w:ascii="Arial" w:hAnsi="Arial" w:cs="Arial"/>
                <w:color w:val="auto"/>
                <w:sz w:val="20"/>
                <w:szCs w:val="20"/>
              </w:rPr>
              <w:t>Whether the response to the information requested demonstrates that the company has relevant previous experience to deliver the Capability A – Goods, Works, Services.</w:t>
            </w:r>
          </w:p>
        </w:tc>
      </w:tr>
      <w:tr w:rsidR="00C0505A" w:rsidRPr="00DD6874" w14:paraId="5F3BDBAD" w14:textId="77777777" w:rsidTr="00CD66F1">
        <w:tc>
          <w:tcPr>
            <w:tcW w:w="4790" w:type="dxa"/>
          </w:tcPr>
          <w:p w14:paraId="2705587E" w14:textId="6C975C31" w:rsidR="00C0505A" w:rsidRPr="002C7B97" w:rsidRDefault="00C0505A" w:rsidP="00590DD6">
            <w:pPr>
              <w:rPr>
                <w:rFonts w:eastAsiaTheme="minorEastAsia" w:cs="Arial"/>
                <w:szCs w:val="20"/>
              </w:rPr>
            </w:pPr>
            <w:r w:rsidRPr="002C7B97">
              <w:rPr>
                <w:rFonts w:eastAsiaTheme="minorEastAsia" w:cs="Arial"/>
                <w:szCs w:val="20"/>
              </w:rPr>
              <w:lastRenderedPageBreak/>
              <w:t>Referee Report</w:t>
            </w:r>
          </w:p>
        </w:tc>
        <w:tc>
          <w:tcPr>
            <w:tcW w:w="4848" w:type="dxa"/>
          </w:tcPr>
          <w:p w14:paraId="2B3C9FDC" w14:textId="77777777" w:rsidR="00C0505A" w:rsidRPr="002C7B97" w:rsidRDefault="00C0505A" w:rsidP="00C0505A">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two (2) referee report reports requested are complete and address all the requested information.</w:t>
            </w:r>
          </w:p>
          <w:p w14:paraId="4FCD7896" w14:textId="77777777" w:rsidR="00C0505A" w:rsidRPr="002C7B97" w:rsidRDefault="00C0505A" w:rsidP="00C0505A">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client referee reports are for projects completed over the last three (3) years.</w:t>
            </w:r>
          </w:p>
          <w:p w14:paraId="1897FF24" w14:textId="77777777" w:rsidR="00C0505A" w:rsidRPr="002C7B97" w:rsidRDefault="00C0505A" w:rsidP="00C0505A">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referee report is signed by the client referee for it be considered.</w:t>
            </w:r>
          </w:p>
          <w:p w14:paraId="4C33CAC1" w14:textId="77777777" w:rsidR="003A70F2" w:rsidRPr="002C7B97" w:rsidRDefault="00C0505A" w:rsidP="003A70F2">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referee reports highlight and support (at minimum) an acceptable level of performance across all key performance areas.</w:t>
            </w:r>
          </w:p>
          <w:p w14:paraId="707F5063" w14:textId="3CACCCA6" w:rsidR="00C0505A" w:rsidRPr="002C7B97" w:rsidRDefault="00C0505A" w:rsidP="003A70F2">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reports are for works/services/projects completed by the company delivering services under capability A over the last three (3) years.</w:t>
            </w:r>
          </w:p>
        </w:tc>
      </w:tr>
      <w:tr w:rsidR="00C0505A" w:rsidRPr="00AA4C23" w14:paraId="5825DFF1" w14:textId="77777777" w:rsidTr="00CD66F1">
        <w:tc>
          <w:tcPr>
            <w:tcW w:w="4790" w:type="dxa"/>
          </w:tcPr>
          <w:p w14:paraId="01459CB7" w14:textId="77777777" w:rsidR="00C0505A" w:rsidRPr="002C7B97" w:rsidRDefault="00C0505A" w:rsidP="00C0505A">
            <w:pPr>
              <w:rPr>
                <w:rFonts w:eastAsiaTheme="minorEastAsia" w:cs="Arial"/>
                <w:szCs w:val="20"/>
              </w:rPr>
            </w:pPr>
            <w:r w:rsidRPr="002C7B97">
              <w:rPr>
                <w:rFonts w:eastAsiaTheme="minorEastAsia" w:cs="Arial"/>
                <w:szCs w:val="20"/>
              </w:rPr>
              <w:t>Rates card</w:t>
            </w:r>
          </w:p>
          <w:p w14:paraId="1667637A" w14:textId="03A8E429" w:rsidR="00C0505A" w:rsidRPr="002C7B97" w:rsidRDefault="00C0505A" w:rsidP="00C0505A">
            <w:pPr>
              <w:rPr>
                <w:rFonts w:eastAsiaTheme="minorEastAsia" w:cs="Arial"/>
                <w:szCs w:val="20"/>
              </w:rPr>
            </w:pPr>
          </w:p>
        </w:tc>
        <w:tc>
          <w:tcPr>
            <w:tcW w:w="4848" w:type="dxa"/>
          </w:tcPr>
          <w:p w14:paraId="175FFAD1" w14:textId="342F9351" w:rsidR="00C0505A" w:rsidRPr="002C7B97" w:rsidRDefault="00C0505A" w:rsidP="00AA4C23">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information in the company Rates card is complete and in requested format. Including whether the maximum rates have been provided exclusive of GST.</w:t>
            </w:r>
          </w:p>
        </w:tc>
      </w:tr>
      <w:tr w:rsidR="00C0505A" w:rsidRPr="00DD6874" w14:paraId="0F1FCEC6" w14:textId="77777777" w:rsidTr="00CD66F1">
        <w:tc>
          <w:tcPr>
            <w:tcW w:w="4790" w:type="dxa"/>
          </w:tcPr>
          <w:p w14:paraId="400D0D59" w14:textId="6E583959" w:rsidR="00C0505A" w:rsidRPr="002C7B97" w:rsidRDefault="00C0505A" w:rsidP="00C0505A">
            <w:pPr>
              <w:rPr>
                <w:rFonts w:eastAsiaTheme="minorEastAsia" w:cs="Arial"/>
                <w:szCs w:val="20"/>
              </w:rPr>
            </w:pPr>
            <w:r w:rsidRPr="002C7B97">
              <w:rPr>
                <w:rFonts w:eastAsiaTheme="minorEastAsia" w:cs="Arial"/>
                <w:szCs w:val="20"/>
              </w:rPr>
              <w:t>Insurances</w:t>
            </w:r>
          </w:p>
        </w:tc>
        <w:tc>
          <w:tcPr>
            <w:tcW w:w="4848" w:type="dxa"/>
          </w:tcPr>
          <w:p w14:paraId="0CE382DB" w14:textId="46E83CB5" w:rsidR="00C0505A" w:rsidRPr="002C7B97" w:rsidRDefault="00C0505A" w:rsidP="00AA4C23">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Applicant has confirmed “Yes” to in agreeing to providing evidence that it has, or is able to procure, all insurances which they are required to maintain and effect under the Scheme or which it may be required to maintain and effect under a Project Agreement.</w:t>
            </w:r>
          </w:p>
        </w:tc>
      </w:tr>
      <w:tr w:rsidR="00C0505A" w:rsidRPr="00DD6874" w14:paraId="378702A1" w14:textId="77777777" w:rsidTr="00CD66F1">
        <w:tc>
          <w:tcPr>
            <w:tcW w:w="4790" w:type="dxa"/>
          </w:tcPr>
          <w:p w14:paraId="50450CFB" w14:textId="09B2EC79" w:rsidR="00C0505A" w:rsidRPr="002C7B97" w:rsidRDefault="00C0505A" w:rsidP="00C0505A">
            <w:pPr>
              <w:spacing w:after="160" w:line="259" w:lineRule="auto"/>
              <w:rPr>
                <w:rFonts w:eastAsiaTheme="minorEastAsia" w:cs="Arial"/>
                <w:szCs w:val="20"/>
              </w:rPr>
            </w:pPr>
            <w:r w:rsidRPr="002C7B97">
              <w:rPr>
                <w:rFonts w:cs="Arial"/>
                <w:szCs w:val="20"/>
              </w:rPr>
              <w:t>Quality Assurance</w:t>
            </w:r>
            <w:r w:rsidRPr="002C7B97">
              <w:rPr>
                <w:rFonts w:cs="Arial"/>
                <w:szCs w:val="20"/>
                <w:lang w:eastAsia="en-AU"/>
              </w:rPr>
              <w:t xml:space="preserve"> </w:t>
            </w:r>
          </w:p>
        </w:tc>
        <w:tc>
          <w:tcPr>
            <w:tcW w:w="4848" w:type="dxa"/>
          </w:tcPr>
          <w:p w14:paraId="2EF1887E" w14:textId="1D0890FE" w:rsidR="00C0505A" w:rsidRPr="002C7B97" w:rsidRDefault="00C0505A" w:rsidP="003751FA">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Applicant demonstrates an appropriate level of Quality Assurance controls, by providing evidence of one (1) of the following:</w:t>
            </w:r>
          </w:p>
          <w:p w14:paraId="030E13A8" w14:textId="77777777" w:rsidR="00C0505A" w:rsidRPr="002C7B97" w:rsidRDefault="00C0505A" w:rsidP="00C0505A">
            <w:pPr>
              <w:pStyle w:val="Default"/>
              <w:numPr>
                <w:ilvl w:val="0"/>
                <w:numId w:val="27"/>
              </w:numPr>
              <w:rPr>
                <w:rFonts w:ascii="Arial" w:hAnsi="Arial" w:cs="Arial"/>
                <w:color w:val="auto"/>
                <w:sz w:val="20"/>
                <w:szCs w:val="20"/>
              </w:rPr>
            </w:pPr>
            <w:r w:rsidRPr="002C7B97">
              <w:rPr>
                <w:rFonts w:ascii="Arial" w:hAnsi="Arial" w:cs="Arial"/>
                <w:color w:val="auto"/>
                <w:sz w:val="20"/>
                <w:szCs w:val="20"/>
              </w:rPr>
              <w:t>accreditation from a recognised body;</w:t>
            </w:r>
          </w:p>
          <w:p w14:paraId="4E14CB41" w14:textId="77777777" w:rsidR="00C0505A" w:rsidRPr="002C7B97" w:rsidRDefault="00C0505A" w:rsidP="00C0505A">
            <w:pPr>
              <w:pStyle w:val="Default"/>
              <w:numPr>
                <w:ilvl w:val="0"/>
                <w:numId w:val="27"/>
              </w:numPr>
              <w:rPr>
                <w:rFonts w:ascii="Arial" w:hAnsi="Arial" w:cs="Arial"/>
                <w:color w:val="auto"/>
                <w:sz w:val="20"/>
                <w:szCs w:val="20"/>
              </w:rPr>
            </w:pPr>
            <w:r w:rsidRPr="002C7B97">
              <w:rPr>
                <w:rFonts w:ascii="Arial" w:hAnsi="Arial" w:cs="Arial"/>
                <w:color w:val="auto"/>
                <w:sz w:val="20"/>
                <w:szCs w:val="20"/>
              </w:rPr>
              <w:t>example of site-specific quality inspection and test plan</w:t>
            </w:r>
          </w:p>
          <w:p w14:paraId="6BDA79FE" w14:textId="7348AB40" w:rsidR="00C0505A" w:rsidRPr="002C7B97" w:rsidRDefault="00C0505A" w:rsidP="00EB4832">
            <w:pPr>
              <w:pStyle w:val="Default"/>
              <w:numPr>
                <w:ilvl w:val="0"/>
                <w:numId w:val="27"/>
              </w:numPr>
              <w:rPr>
                <w:rFonts w:ascii="Arial" w:hAnsi="Arial" w:cs="Arial"/>
                <w:color w:val="auto"/>
                <w:sz w:val="20"/>
                <w:szCs w:val="20"/>
              </w:rPr>
            </w:pPr>
            <w:r w:rsidRPr="002C7B97">
              <w:rPr>
                <w:rFonts w:ascii="Arial" w:hAnsi="Arial" w:cs="Arial"/>
                <w:color w:val="auto"/>
                <w:sz w:val="20"/>
                <w:szCs w:val="20"/>
              </w:rPr>
              <w:t>Completed Certificate Compliance Electrical Work (CCEW) and a Commissioning test reports.</w:t>
            </w:r>
          </w:p>
        </w:tc>
      </w:tr>
      <w:tr w:rsidR="00C0505A" w:rsidRPr="00DD6874" w14:paraId="2C70357B" w14:textId="77777777" w:rsidTr="00CD66F1">
        <w:trPr>
          <w:trHeight w:val="259"/>
        </w:trPr>
        <w:tc>
          <w:tcPr>
            <w:tcW w:w="4790" w:type="dxa"/>
          </w:tcPr>
          <w:p w14:paraId="517CAFFB" w14:textId="48F2D393" w:rsidR="00C0505A" w:rsidRPr="002C7B97" w:rsidRDefault="00C0505A" w:rsidP="00C0505A">
            <w:pPr>
              <w:rPr>
                <w:rFonts w:cs="Arial"/>
                <w:szCs w:val="20"/>
              </w:rPr>
            </w:pPr>
            <w:r w:rsidRPr="002C7B97">
              <w:rPr>
                <w:rFonts w:eastAsiaTheme="minorEastAsia" w:cs="Arial"/>
                <w:szCs w:val="20"/>
              </w:rPr>
              <w:t>Environmental Management</w:t>
            </w:r>
          </w:p>
        </w:tc>
        <w:tc>
          <w:tcPr>
            <w:tcW w:w="4848" w:type="dxa"/>
          </w:tcPr>
          <w:p w14:paraId="696DF1F1" w14:textId="42C0D9BC" w:rsidR="00C0505A" w:rsidRPr="002C7B97" w:rsidRDefault="00C0505A" w:rsidP="002C7B97">
            <w:pPr>
              <w:pStyle w:val="Default"/>
              <w:numPr>
                <w:ilvl w:val="0"/>
                <w:numId w:val="7"/>
              </w:numPr>
              <w:ind w:left="360"/>
              <w:rPr>
                <w:rFonts w:ascii="Arial" w:hAnsi="Arial" w:cs="Arial"/>
                <w:color w:val="auto"/>
                <w:sz w:val="20"/>
                <w:szCs w:val="20"/>
              </w:rPr>
            </w:pPr>
            <w:r w:rsidRPr="002C7B97">
              <w:rPr>
                <w:rFonts w:ascii="Arial" w:hAnsi="Arial" w:cs="Arial"/>
                <w:color w:val="auto"/>
                <w:sz w:val="20"/>
                <w:szCs w:val="20"/>
              </w:rPr>
              <w:t>Whether the applicant demonstrates an appropriate level of Environmental Management controls by providing evidence of one (1) of the following:</w:t>
            </w:r>
          </w:p>
          <w:p w14:paraId="39E7AB81" w14:textId="77777777" w:rsidR="00C0505A" w:rsidRPr="002C7B97" w:rsidRDefault="00C0505A" w:rsidP="002C7B97">
            <w:pPr>
              <w:pStyle w:val="Default"/>
              <w:numPr>
                <w:ilvl w:val="0"/>
                <w:numId w:val="29"/>
              </w:numPr>
              <w:rPr>
                <w:rFonts w:ascii="Arial" w:hAnsi="Arial" w:cs="Arial"/>
                <w:color w:val="auto"/>
                <w:sz w:val="20"/>
                <w:szCs w:val="20"/>
              </w:rPr>
            </w:pPr>
            <w:r w:rsidRPr="002C7B97">
              <w:rPr>
                <w:rFonts w:ascii="Arial" w:hAnsi="Arial" w:cs="Arial"/>
                <w:color w:val="auto"/>
                <w:sz w:val="20"/>
                <w:szCs w:val="20"/>
              </w:rPr>
              <w:t xml:space="preserve">site-specific Environmental Management Plan </w:t>
            </w:r>
          </w:p>
          <w:p w14:paraId="07AB3E7F" w14:textId="77777777" w:rsidR="00C0505A" w:rsidRPr="002C7B97" w:rsidRDefault="00C0505A" w:rsidP="002C7B97">
            <w:pPr>
              <w:pStyle w:val="Default"/>
              <w:numPr>
                <w:ilvl w:val="0"/>
                <w:numId w:val="29"/>
              </w:numPr>
              <w:rPr>
                <w:rFonts w:ascii="Arial" w:hAnsi="Arial" w:cs="Arial"/>
                <w:color w:val="auto"/>
                <w:sz w:val="20"/>
                <w:szCs w:val="20"/>
              </w:rPr>
            </w:pPr>
            <w:r w:rsidRPr="002C7B97">
              <w:rPr>
                <w:rFonts w:ascii="Arial" w:hAnsi="Arial" w:cs="Arial"/>
                <w:color w:val="auto"/>
                <w:sz w:val="20"/>
                <w:szCs w:val="20"/>
              </w:rPr>
              <w:t xml:space="preserve">Completed site specific checklist/procedure to address environmental management. or </w:t>
            </w:r>
          </w:p>
          <w:p w14:paraId="1498292C" w14:textId="4F893E51" w:rsidR="00C0505A" w:rsidRPr="002C7B97" w:rsidRDefault="00C0505A" w:rsidP="002C7B97">
            <w:pPr>
              <w:pStyle w:val="Default"/>
              <w:numPr>
                <w:ilvl w:val="0"/>
                <w:numId w:val="29"/>
              </w:numPr>
              <w:rPr>
                <w:rFonts w:ascii="Arial" w:hAnsi="Arial" w:cs="Arial"/>
                <w:color w:val="auto"/>
                <w:sz w:val="20"/>
                <w:szCs w:val="20"/>
              </w:rPr>
            </w:pPr>
            <w:r w:rsidRPr="002C7B97">
              <w:rPr>
                <w:rFonts w:ascii="Arial" w:hAnsi="Arial" w:cs="Arial"/>
                <w:color w:val="auto"/>
                <w:sz w:val="20"/>
                <w:szCs w:val="20"/>
              </w:rPr>
              <w:t>Provided details of their approach, including any checklists or procedures they will have in place to control environmental management requirement.</w:t>
            </w:r>
          </w:p>
        </w:tc>
      </w:tr>
      <w:tr w:rsidR="00C0505A" w:rsidRPr="00AA7C3E" w14:paraId="2143B6C2" w14:textId="77777777" w:rsidTr="00CD66F1">
        <w:tc>
          <w:tcPr>
            <w:tcW w:w="4790" w:type="dxa"/>
          </w:tcPr>
          <w:p w14:paraId="2F12C6F5" w14:textId="77777777" w:rsidR="00C0505A" w:rsidRPr="00A35D80" w:rsidRDefault="00C0505A" w:rsidP="00C0505A">
            <w:pPr>
              <w:rPr>
                <w:rFonts w:eastAsiaTheme="minorEastAsia" w:cs="Arial"/>
                <w:szCs w:val="20"/>
              </w:rPr>
            </w:pPr>
            <w:r w:rsidRPr="00A35D80">
              <w:rPr>
                <w:rFonts w:eastAsiaTheme="minorEastAsia" w:cs="Arial"/>
                <w:szCs w:val="20"/>
              </w:rPr>
              <w:lastRenderedPageBreak/>
              <w:t>Other Licences and Certifications</w:t>
            </w:r>
          </w:p>
          <w:p w14:paraId="7E6762BE" w14:textId="77777777" w:rsidR="00C0505A" w:rsidRPr="00A35D80" w:rsidRDefault="00C0505A" w:rsidP="00C0505A">
            <w:pPr>
              <w:rPr>
                <w:rFonts w:eastAsiaTheme="minorEastAsia" w:cs="Arial"/>
                <w:szCs w:val="20"/>
              </w:rPr>
            </w:pPr>
          </w:p>
          <w:p w14:paraId="67C087DF" w14:textId="5F287B65" w:rsidR="00C0505A" w:rsidRPr="00A35D80" w:rsidRDefault="00C0505A" w:rsidP="00C0505A">
            <w:pPr>
              <w:rPr>
                <w:rFonts w:eastAsiaTheme="minorEastAsia" w:cs="Arial"/>
                <w:szCs w:val="20"/>
              </w:rPr>
            </w:pPr>
          </w:p>
        </w:tc>
        <w:tc>
          <w:tcPr>
            <w:tcW w:w="4848" w:type="dxa"/>
          </w:tcPr>
          <w:p w14:paraId="30755B7E" w14:textId="4FBF7F8B" w:rsidR="00C0505A" w:rsidRPr="00A35D80" w:rsidRDefault="00C0505A" w:rsidP="00AA7C3E">
            <w:pPr>
              <w:pStyle w:val="Default"/>
              <w:numPr>
                <w:ilvl w:val="0"/>
                <w:numId w:val="7"/>
              </w:numPr>
              <w:ind w:left="360"/>
              <w:rPr>
                <w:rFonts w:ascii="Arial" w:hAnsi="Arial" w:cs="Arial"/>
                <w:color w:val="auto"/>
                <w:sz w:val="20"/>
                <w:szCs w:val="20"/>
              </w:rPr>
            </w:pPr>
            <w:r w:rsidRPr="00A35D80">
              <w:rPr>
                <w:rFonts w:ascii="Arial" w:hAnsi="Arial" w:cs="Arial"/>
                <w:color w:val="auto"/>
                <w:sz w:val="20"/>
                <w:szCs w:val="20"/>
              </w:rPr>
              <w:t>Whether the applicant has confirmed “Yes” ensuring that all licenses and certifications required by NSW Fair Trading and NSW laws will be held by them or any nominated sub-contractors for whom they remain responsible under any Project Agreement.</w:t>
            </w:r>
          </w:p>
        </w:tc>
      </w:tr>
      <w:tr w:rsidR="00C0505A" w:rsidRPr="005F6A6D" w14:paraId="480CC8D0" w14:textId="77777777" w:rsidTr="00CD66F1">
        <w:tc>
          <w:tcPr>
            <w:tcW w:w="4790" w:type="dxa"/>
          </w:tcPr>
          <w:p w14:paraId="3DC6FCFB" w14:textId="3686B38F" w:rsidR="00C0505A" w:rsidRPr="00A35D80" w:rsidRDefault="00C0505A" w:rsidP="00C0505A">
            <w:pPr>
              <w:pStyle w:val="Default"/>
              <w:rPr>
                <w:rFonts w:ascii="Arial" w:hAnsi="Arial" w:cs="Arial"/>
                <w:color w:val="auto"/>
                <w:sz w:val="20"/>
                <w:szCs w:val="20"/>
              </w:rPr>
            </w:pPr>
            <w:r w:rsidRPr="00A35D80">
              <w:rPr>
                <w:rFonts w:ascii="Arial" w:eastAsiaTheme="minorEastAsia" w:hAnsi="Arial" w:cs="Arial"/>
                <w:color w:val="auto"/>
                <w:sz w:val="20"/>
                <w:szCs w:val="20"/>
              </w:rPr>
              <w:t>Workplace Health and Safety (WHS) Statutory Obligations</w:t>
            </w:r>
          </w:p>
        </w:tc>
        <w:tc>
          <w:tcPr>
            <w:tcW w:w="4848" w:type="dxa"/>
          </w:tcPr>
          <w:p w14:paraId="68A35143" w14:textId="77777777" w:rsidR="00C0505A" w:rsidRPr="00A35D80" w:rsidRDefault="00C0505A" w:rsidP="00AA7C3E">
            <w:pPr>
              <w:pStyle w:val="Default"/>
              <w:numPr>
                <w:ilvl w:val="0"/>
                <w:numId w:val="7"/>
              </w:numPr>
              <w:ind w:left="360"/>
              <w:rPr>
                <w:rFonts w:ascii="Arial" w:hAnsi="Arial" w:cs="Arial"/>
                <w:color w:val="auto"/>
                <w:sz w:val="20"/>
                <w:szCs w:val="20"/>
              </w:rPr>
            </w:pPr>
            <w:r w:rsidRPr="00A35D80">
              <w:rPr>
                <w:rFonts w:ascii="Arial" w:hAnsi="Arial" w:cs="Arial"/>
                <w:color w:val="auto"/>
                <w:sz w:val="20"/>
                <w:szCs w:val="20"/>
              </w:rPr>
              <w:t>Whether the applicant demonstrates an appropriate level of Workplace Health and Safety (WHS) controls, by providing evidence of one (1) of the following:</w:t>
            </w:r>
          </w:p>
          <w:p w14:paraId="5C715440" w14:textId="77777777" w:rsidR="00C0505A" w:rsidRPr="00A35D80" w:rsidRDefault="00C0505A" w:rsidP="00A35D80">
            <w:pPr>
              <w:pStyle w:val="Default"/>
              <w:numPr>
                <w:ilvl w:val="0"/>
                <w:numId w:val="30"/>
              </w:numPr>
              <w:rPr>
                <w:rFonts w:ascii="Arial" w:hAnsi="Arial" w:cs="Arial"/>
                <w:color w:val="auto"/>
                <w:sz w:val="20"/>
                <w:szCs w:val="20"/>
              </w:rPr>
            </w:pPr>
            <w:r w:rsidRPr="00A35D80">
              <w:rPr>
                <w:rFonts w:ascii="Arial" w:hAnsi="Arial" w:cs="Arial"/>
                <w:color w:val="auto"/>
                <w:sz w:val="20"/>
                <w:szCs w:val="20"/>
              </w:rPr>
              <w:t>Evidence of any WHS Management System certification</w:t>
            </w:r>
          </w:p>
          <w:p w14:paraId="02B9FE16" w14:textId="77777777" w:rsidR="00C0505A" w:rsidRPr="00A35D80" w:rsidRDefault="00C0505A" w:rsidP="00A35D80">
            <w:pPr>
              <w:pStyle w:val="Default"/>
              <w:numPr>
                <w:ilvl w:val="0"/>
                <w:numId w:val="30"/>
              </w:numPr>
              <w:rPr>
                <w:rFonts w:ascii="Arial" w:hAnsi="Arial" w:cs="Arial"/>
                <w:color w:val="auto"/>
                <w:sz w:val="20"/>
                <w:szCs w:val="20"/>
              </w:rPr>
            </w:pPr>
            <w:r w:rsidRPr="00A35D80">
              <w:rPr>
                <w:rFonts w:ascii="Arial" w:hAnsi="Arial" w:cs="Arial"/>
                <w:color w:val="auto"/>
                <w:sz w:val="20"/>
                <w:szCs w:val="20"/>
              </w:rPr>
              <w:t xml:space="preserve">Example of a completed safe work method statement </w:t>
            </w:r>
          </w:p>
          <w:p w14:paraId="404C3EAA" w14:textId="34553582" w:rsidR="00C0505A" w:rsidRPr="00A35D80" w:rsidRDefault="00C0505A" w:rsidP="00C70545">
            <w:pPr>
              <w:pStyle w:val="Default"/>
              <w:numPr>
                <w:ilvl w:val="0"/>
                <w:numId w:val="7"/>
              </w:numPr>
              <w:ind w:left="360"/>
              <w:rPr>
                <w:rFonts w:ascii="Arial" w:hAnsi="Arial" w:cs="Arial"/>
                <w:color w:val="auto"/>
                <w:sz w:val="20"/>
                <w:szCs w:val="20"/>
              </w:rPr>
            </w:pPr>
            <w:r w:rsidRPr="00A35D80">
              <w:rPr>
                <w:rFonts w:ascii="Arial" w:hAnsi="Arial" w:cs="Arial"/>
                <w:color w:val="auto"/>
                <w:sz w:val="20"/>
                <w:szCs w:val="20"/>
              </w:rPr>
              <w:t>Whether the applicant has disclosed any prosecutions or fine(s) for a breach of any Australian WHS and/or environmental legislation during the past two (2) years.</w:t>
            </w:r>
          </w:p>
        </w:tc>
      </w:tr>
      <w:tr w:rsidR="00C0505A" w:rsidRPr="005F6A6D" w14:paraId="5801833D" w14:textId="77777777" w:rsidTr="00CD66F1">
        <w:tc>
          <w:tcPr>
            <w:tcW w:w="4790" w:type="dxa"/>
          </w:tcPr>
          <w:p w14:paraId="6691389B" w14:textId="4D03AC62" w:rsidR="00C0505A" w:rsidRPr="00590DD6" w:rsidRDefault="00C0505A" w:rsidP="00C0505A">
            <w:pPr>
              <w:rPr>
                <w:rFonts w:cs="Arial"/>
                <w:szCs w:val="20"/>
              </w:rPr>
            </w:pPr>
            <w:r w:rsidRPr="00590DD6">
              <w:rPr>
                <w:rFonts w:eastAsiaTheme="minorEastAsia" w:cs="Arial"/>
                <w:szCs w:val="20"/>
              </w:rPr>
              <w:t>Supplier Code of Conduct</w:t>
            </w:r>
          </w:p>
        </w:tc>
        <w:tc>
          <w:tcPr>
            <w:tcW w:w="4848" w:type="dxa"/>
          </w:tcPr>
          <w:p w14:paraId="0D6ADF34" w14:textId="34BE87C7" w:rsidR="00C0505A" w:rsidRPr="0040113C" w:rsidRDefault="00C0505A" w:rsidP="0040113C">
            <w:pPr>
              <w:pStyle w:val="Default"/>
              <w:numPr>
                <w:ilvl w:val="0"/>
                <w:numId w:val="10"/>
              </w:numPr>
              <w:ind w:left="360"/>
              <w:rPr>
                <w:rFonts w:ascii="Arial" w:hAnsi="Arial" w:cs="Arial"/>
                <w:color w:val="auto"/>
                <w:sz w:val="20"/>
                <w:szCs w:val="20"/>
              </w:rPr>
            </w:pPr>
            <w:r w:rsidRPr="0040113C">
              <w:rPr>
                <w:rFonts w:ascii="Arial" w:hAnsi="Arial" w:cs="Arial"/>
                <w:color w:val="auto"/>
                <w:sz w:val="20"/>
                <w:szCs w:val="20"/>
              </w:rPr>
              <w:t>Whether the applicant has confirmed that they will comply with the NSW Government Supplier Code of Conduct</w:t>
            </w:r>
          </w:p>
        </w:tc>
      </w:tr>
      <w:tr w:rsidR="00C0505A" w:rsidRPr="00180DB9" w14:paraId="4FA249B0" w14:textId="77777777" w:rsidTr="00CD66F1">
        <w:tc>
          <w:tcPr>
            <w:tcW w:w="4790" w:type="dxa"/>
          </w:tcPr>
          <w:p w14:paraId="16340782" w14:textId="528EB659" w:rsidR="00C0505A" w:rsidRPr="00590DD6" w:rsidRDefault="00C0505A" w:rsidP="00C0505A">
            <w:pPr>
              <w:rPr>
                <w:rFonts w:eastAsiaTheme="minorEastAsia" w:cs="Arial"/>
                <w:szCs w:val="20"/>
              </w:rPr>
            </w:pPr>
            <w:r w:rsidRPr="00590DD6">
              <w:rPr>
                <w:rFonts w:eastAsiaTheme="minorEastAsia" w:cs="Arial"/>
                <w:color w:val="2C2B2B" w:themeColor="text1"/>
                <w:szCs w:val="20"/>
              </w:rPr>
              <w:t>NSW Procurement Policy Framework</w:t>
            </w:r>
          </w:p>
        </w:tc>
        <w:tc>
          <w:tcPr>
            <w:tcW w:w="4848" w:type="dxa"/>
          </w:tcPr>
          <w:p w14:paraId="6510C6AA" w14:textId="2E6C0EA9" w:rsidR="00C0505A" w:rsidRPr="0040113C" w:rsidRDefault="00C0505A" w:rsidP="0040113C">
            <w:pPr>
              <w:pStyle w:val="Default"/>
              <w:numPr>
                <w:ilvl w:val="0"/>
                <w:numId w:val="10"/>
              </w:numPr>
              <w:ind w:left="360"/>
              <w:rPr>
                <w:rFonts w:ascii="Arial" w:hAnsi="Arial" w:cs="Arial"/>
                <w:color w:val="auto"/>
                <w:sz w:val="20"/>
                <w:szCs w:val="20"/>
              </w:rPr>
            </w:pPr>
            <w:r w:rsidRPr="0040113C">
              <w:rPr>
                <w:rFonts w:ascii="Arial" w:hAnsi="Arial" w:cs="Arial"/>
                <w:color w:val="auto"/>
                <w:sz w:val="20"/>
                <w:szCs w:val="20"/>
              </w:rPr>
              <w:t xml:space="preserve">Whether the applicant has confirmed that they will comply with the </w:t>
            </w:r>
            <w:r w:rsidRPr="0040113C">
              <w:rPr>
                <w:rFonts w:ascii="Arial" w:hAnsi="Arial" w:cs="Arial"/>
                <w:color w:val="2C2B2B" w:themeColor="text1"/>
                <w:sz w:val="20"/>
                <w:szCs w:val="20"/>
              </w:rPr>
              <w:t>NSW Procurement Policy Framework</w:t>
            </w:r>
          </w:p>
        </w:tc>
      </w:tr>
      <w:tr w:rsidR="00C0505A" w:rsidRPr="00180DB9" w14:paraId="615950D6" w14:textId="77777777" w:rsidTr="00CD66F1">
        <w:tc>
          <w:tcPr>
            <w:tcW w:w="4790" w:type="dxa"/>
          </w:tcPr>
          <w:p w14:paraId="0FAB4776" w14:textId="657C36AE" w:rsidR="00C0505A" w:rsidRPr="00590DD6" w:rsidRDefault="00C0505A" w:rsidP="00C0505A">
            <w:pPr>
              <w:pStyle w:val="BodyText"/>
              <w:rPr>
                <w:rFonts w:cs="Arial"/>
                <w:szCs w:val="20"/>
              </w:rPr>
            </w:pPr>
            <w:r w:rsidRPr="00590DD6">
              <w:rPr>
                <w:rFonts w:cs="Arial"/>
                <w:szCs w:val="20"/>
              </w:rPr>
              <w:t>Scheme Conditions &amp; Requirements</w:t>
            </w:r>
          </w:p>
        </w:tc>
        <w:tc>
          <w:tcPr>
            <w:tcW w:w="4848" w:type="dxa"/>
          </w:tcPr>
          <w:p w14:paraId="7D7A8BFC" w14:textId="7B408EAE" w:rsidR="00C0505A" w:rsidRPr="0040113C" w:rsidRDefault="00C0505A" w:rsidP="0040113C">
            <w:pPr>
              <w:pStyle w:val="Default"/>
              <w:numPr>
                <w:ilvl w:val="0"/>
                <w:numId w:val="10"/>
              </w:numPr>
              <w:ind w:left="360"/>
              <w:rPr>
                <w:rFonts w:ascii="Arial" w:hAnsi="Arial" w:cs="Arial"/>
                <w:color w:val="auto"/>
                <w:sz w:val="20"/>
                <w:szCs w:val="20"/>
              </w:rPr>
            </w:pPr>
            <w:r w:rsidRPr="0040113C">
              <w:rPr>
                <w:rFonts w:ascii="Arial" w:hAnsi="Arial" w:cs="Arial"/>
                <w:color w:val="auto"/>
                <w:sz w:val="20"/>
                <w:szCs w:val="20"/>
              </w:rPr>
              <w:t xml:space="preserve">Whether the applicant has confirmed that they agree to </w:t>
            </w:r>
            <w:r w:rsidRPr="0040113C">
              <w:rPr>
                <w:rFonts w:ascii="Arial" w:hAnsi="Arial" w:cs="Arial"/>
                <w:color w:val="2C2B2B" w:themeColor="text1"/>
                <w:sz w:val="20"/>
                <w:szCs w:val="20"/>
              </w:rPr>
              <w:t>the scheme conditions, and the Standard Form Agreement</w:t>
            </w:r>
          </w:p>
        </w:tc>
      </w:tr>
      <w:tr w:rsidR="00C0505A" w14:paraId="1D798706" w14:textId="77777777" w:rsidTr="00CD66F1">
        <w:tc>
          <w:tcPr>
            <w:tcW w:w="4790" w:type="dxa"/>
          </w:tcPr>
          <w:p w14:paraId="39E0A08D" w14:textId="77777777" w:rsidR="00C0505A" w:rsidRPr="00590DD6" w:rsidRDefault="00C0505A" w:rsidP="00C0505A">
            <w:pPr>
              <w:spacing w:after="160" w:line="259" w:lineRule="auto"/>
              <w:rPr>
                <w:rFonts w:eastAsiaTheme="minorEastAsia" w:cs="Arial"/>
                <w:color w:val="2C2B2B" w:themeColor="text1"/>
                <w:szCs w:val="20"/>
              </w:rPr>
            </w:pPr>
            <w:r w:rsidRPr="00590DD6">
              <w:rPr>
                <w:rFonts w:eastAsiaTheme="minorEastAsia" w:cs="Arial"/>
                <w:color w:val="2C2B2B" w:themeColor="text1"/>
                <w:szCs w:val="20"/>
              </w:rPr>
              <w:t>Applicant Declaration</w:t>
            </w:r>
          </w:p>
          <w:p w14:paraId="3A7EF92F" w14:textId="48EF2667" w:rsidR="00173916" w:rsidRPr="00590DD6" w:rsidRDefault="00173916" w:rsidP="00C0505A">
            <w:pPr>
              <w:spacing w:after="160" w:line="259" w:lineRule="auto"/>
              <w:rPr>
                <w:rFonts w:eastAsiaTheme="minorEastAsia" w:cs="Arial"/>
                <w:szCs w:val="20"/>
              </w:rPr>
            </w:pPr>
          </w:p>
        </w:tc>
        <w:tc>
          <w:tcPr>
            <w:tcW w:w="4848" w:type="dxa"/>
          </w:tcPr>
          <w:p w14:paraId="57A2D95C" w14:textId="006A0AEF" w:rsidR="00C0505A" w:rsidRPr="0040113C" w:rsidRDefault="00C0505A" w:rsidP="00C0505A">
            <w:pPr>
              <w:pStyle w:val="ListParagraph"/>
              <w:numPr>
                <w:ilvl w:val="0"/>
                <w:numId w:val="10"/>
              </w:numPr>
              <w:spacing w:before="0" w:after="160" w:line="259" w:lineRule="auto"/>
              <w:ind w:left="360"/>
              <w:contextualSpacing/>
              <w:rPr>
                <w:rFonts w:eastAsiaTheme="minorEastAsia" w:cs="Arial"/>
                <w:color w:val="2C2B2B" w:themeColor="text1"/>
                <w:szCs w:val="20"/>
              </w:rPr>
            </w:pPr>
            <w:r w:rsidRPr="0040113C">
              <w:rPr>
                <w:rFonts w:cs="Arial"/>
                <w:szCs w:val="20"/>
              </w:rPr>
              <w:t xml:space="preserve">Whether the applicant authorised representative has disclosed that they are </w:t>
            </w:r>
            <w:r w:rsidRPr="0040113C">
              <w:rPr>
                <w:rFonts w:eastAsiaTheme="minorEastAsia" w:cs="Arial"/>
                <w:color w:val="2C2B2B" w:themeColor="text1"/>
                <w:szCs w:val="20"/>
              </w:rPr>
              <w:t>financially solvent, not subject to any legal proceedings or ICAC inquiry/ies.</w:t>
            </w:r>
          </w:p>
        </w:tc>
      </w:tr>
    </w:tbl>
    <w:p w14:paraId="37940F91" w14:textId="7FAEE142" w:rsidR="00C4086C" w:rsidRDefault="00CF370D" w:rsidP="005C2239">
      <w:pPr>
        <w:pStyle w:val="Heading1"/>
      </w:pPr>
      <w:bookmarkStart w:id="19" w:name="_Toc120776904"/>
      <w:r>
        <w:t>6</w:t>
      </w:r>
      <w:r w:rsidR="00C95D46">
        <w:tab/>
      </w:r>
      <w:r w:rsidR="004A471B">
        <w:t xml:space="preserve">Inviting submissions from </w:t>
      </w:r>
      <w:r w:rsidR="00AB6222">
        <w:t>Supplier</w:t>
      </w:r>
      <w:r w:rsidR="004A471B">
        <w:t>s</w:t>
      </w:r>
      <w:bookmarkEnd w:id="19"/>
    </w:p>
    <w:p w14:paraId="72139851" w14:textId="452E7227" w:rsidR="009332C4" w:rsidRDefault="00CF370D" w:rsidP="005C2239">
      <w:pPr>
        <w:pStyle w:val="Heading2"/>
      </w:pPr>
      <w:bookmarkStart w:id="20" w:name="_Toc120776905"/>
      <w:r>
        <w:t>6</w:t>
      </w:r>
      <w:r w:rsidR="00C95D46">
        <w:t>.1</w:t>
      </w:r>
      <w:r w:rsidR="00C95D46">
        <w:tab/>
      </w:r>
      <w:r w:rsidR="009332C4">
        <w:t>Market approaches guide</w:t>
      </w:r>
      <w:bookmarkEnd w:id="20"/>
    </w:p>
    <w:p w14:paraId="07B97D96" w14:textId="6889FBB4" w:rsidR="009332C4" w:rsidRDefault="009332C4" w:rsidP="009332C4">
      <w:r>
        <w:t xml:space="preserve">Refer to the </w:t>
      </w:r>
      <w:hyperlink r:id="rId26" w:history="1">
        <w:r w:rsidRPr="00190CB5">
          <w:rPr>
            <w:rStyle w:val="Hyperlink"/>
          </w:rPr>
          <w:t xml:space="preserve">Market </w:t>
        </w:r>
        <w:r w:rsidR="00190CB5" w:rsidRPr="00190CB5">
          <w:rPr>
            <w:rStyle w:val="Hyperlink"/>
          </w:rPr>
          <w:t>A</w:t>
        </w:r>
        <w:r w:rsidRPr="00190CB5">
          <w:rPr>
            <w:rStyle w:val="Hyperlink"/>
          </w:rPr>
          <w:t xml:space="preserve">pproaches </w:t>
        </w:r>
        <w:r w:rsidR="00190CB5" w:rsidRPr="00190CB5">
          <w:rPr>
            <w:rStyle w:val="Hyperlink"/>
          </w:rPr>
          <w:t>G</w:t>
        </w:r>
        <w:r w:rsidRPr="00190CB5">
          <w:rPr>
            <w:rStyle w:val="Hyperlink"/>
          </w:rPr>
          <w:t>uide</w:t>
        </w:r>
      </w:hyperlink>
      <w:r>
        <w:t xml:space="preserve"> </w:t>
      </w:r>
      <w:r w:rsidR="00190CB5">
        <w:t>on buy.nsw</w:t>
      </w:r>
      <w:r w:rsidRPr="002B1822">
        <w:t xml:space="preserve"> for approaching the </w:t>
      </w:r>
      <w:r w:rsidR="00AB6222">
        <w:t>Supplier</w:t>
      </w:r>
      <w:r w:rsidRPr="002B1822">
        <w:t xml:space="preserve"> market</w:t>
      </w:r>
      <w:r w:rsidR="00190CB5">
        <w:t>.</w:t>
      </w:r>
    </w:p>
    <w:p w14:paraId="4626068A" w14:textId="38190B44" w:rsidR="00C4086C" w:rsidRDefault="00CF370D" w:rsidP="005C2239">
      <w:pPr>
        <w:pStyle w:val="Heading2"/>
      </w:pPr>
      <w:bookmarkStart w:id="21" w:name="_Toc120776906"/>
      <w:r>
        <w:t>6</w:t>
      </w:r>
      <w:r w:rsidR="00C95D46">
        <w:t>.</w:t>
      </w:r>
      <w:r w:rsidR="005E2CBA">
        <w:t>2</w:t>
      </w:r>
      <w:r w:rsidR="00C95D46">
        <w:tab/>
      </w:r>
      <w:r w:rsidR="000D739C">
        <w:t xml:space="preserve">Tendering </w:t>
      </w:r>
      <w:r w:rsidR="00C4086C">
        <w:t>rules</w:t>
      </w:r>
      <w:bookmarkEnd w:id="21"/>
    </w:p>
    <w:p w14:paraId="2B349038" w14:textId="3FCA6A1B" w:rsidR="007521CE" w:rsidRPr="00E650A2" w:rsidRDefault="007521CE" w:rsidP="007521CE">
      <w:pPr>
        <w:rPr>
          <w:color w:val="2C2B2B" w:themeColor="text1"/>
        </w:rPr>
      </w:pPr>
      <w:r w:rsidRPr="00E650A2">
        <w:rPr>
          <w:color w:val="2C2B2B" w:themeColor="text1"/>
        </w:rPr>
        <w:t xml:space="preserve">Agencies inviting </w:t>
      </w:r>
      <w:r w:rsidR="00384C2D">
        <w:rPr>
          <w:color w:val="2C2B2B" w:themeColor="text1"/>
        </w:rPr>
        <w:t>tenders/</w:t>
      </w:r>
      <w:r w:rsidRPr="00E650A2">
        <w:rPr>
          <w:color w:val="2C2B2B" w:themeColor="text1"/>
        </w:rPr>
        <w:t xml:space="preserve">submissions </w:t>
      </w:r>
      <w:r w:rsidR="00F10131">
        <w:rPr>
          <w:color w:val="2C2B2B" w:themeColor="text1"/>
        </w:rPr>
        <w:t>can</w:t>
      </w:r>
      <w:r w:rsidRPr="00E650A2">
        <w:rPr>
          <w:color w:val="2C2B2B" w:themeColor="text1"/>
        </w:rPr>
        <w:t xml:space="preserve"> approach a limited number of </w:t>
      </w:r>
      <w:r w:rsidR="00AB6222">
        <w:rPr>
          <w:color w:val="2C2B2B" w:themeColor="text1"/>
        </w:rPr>
        <w:t>Supplier</w:t>
      </w:r>
      <w:r w:rsidRPr="00E650A2">
        <w:rPr>
          <w:color w:val="2C2B2B" w:themeColor="text1"/>
        </w:rPr>
        <w:t xml:space="preserve">s on the </w:t>
      </w:r>
      <w:r w:rsidR="00833719">
        <w:rPr>
          <w:color w:val="2C2B2B" w:themeColor="text1"/>
        </w:rPr>
        <w:t>Scheme</w:t>
      </w:r>
      <w:r w:rsidRPr="00E650A2">
        <w:rPr>
          <w:color w:val="2C2B2B" w:themeColor="text1"/>
        </w:rPr>
        <w:t xml:space="preserve"> as it may be inefficient for both the </w:t>
      </w:r>
      <w:r w:rsidR="00AB6222">
        <w:rPr>
          <w:color w:val="2C2B2B" w:themeColor="text1"/>
        </w:rPr>
        <w:t>Agency</w:t>
      </w:r>
      <w:r w:rsidRPr="00E650A2">
        <w:rPr>
          <w:color w:val="2C2B2B" w:themeColor="text1"/>
        </w:rPr>
        <w:t xml:space="preserve"> and the </w:t>
      </w:r>
      <w:r w:rsidR="00AB6222">
        <w:rPr>
          <w:color w:val="2C2B2B" w:themeColor="text1"/>
        </w:rPr>
        <w:t>Supplier</w:t>
      </w:r>
      <w:r w:rsidRPr="00E650A2">
        <w:rPr>
          <w:color w:val="2C2B2B" w:themeColor="text1"/>
        </w:rPr>
        <w:t xml:space="preserve">s to invite all eligible </w:t>
      </w:r>
      <w:r w:rsidR="00AB6222">
        <w:rPr>
          <w:color w:val="2C2B2B" w:themeColor="text1"/>
        </w:rPr>
        <w:t>Supplier</w:t>
      </w:r>
      <w:r w:rsidRPr="00E650A2">
        <w:rPr>
          <w:color w:val="2C2B2B" w:themeColor="text1"/>
        </w:rPr>
        <w:t>s to participate in every procurement.</w:t>
      </w:r>
      <w:r w:rsidR="00A62DF3" w:rsidRPr="00A62DF3">
        <w:t xml:space="preserve"> </w:t>
      </w:r>
    </w:p>
    <w:p w14:paraId="7635C1D9" w14:textId="77777777" w:rsidR="00D27401" w:rsidRPr="00D27401" w:rsidRDefault="00D27401" w:rsidP="00D27401">
      <w:pPr>
        <w:rPr>
          <w:color w:val="2C2B2B" w:themeColor="text1"/>
        </w:rPr>
      </w:pPr>
      <w:r w:rsidRPr="00D27401">
        <w:rPr>
          <w:color w:val="2C2B2B" w:themeColor="text1"/>
        </w:rPr>
        <w:t>In buying from the scheme the following quoting thresholds apply,</w:t>
      </w:r>
    </w:p>
    <w:p w14:paraId="0055691F" w14:textId="77777777" w:rsidR="00D27401" w:rsidRPr="003952F0" w:rsidRDefault="00D27401" w:rsidP="008F67B7">
      <w:pPr>
        <w:pStyle w:val="ListParagraph"/>
        <w:numPr>
          <w:ilvl w:val="0"/>
          <w:numId w:val="10"/>
        </w:numPr>
        <w:rPr>
          <w:color w:val="2C2B2B" w:themeColor="text1"/>
        </w:rPr>
      </w:pPr>
      <w:r w:rsidRPr="003952F0">
        <w:rPr>
          <w:color w:val="2C2B2B" w:themeColor="text1"/>
        </w:rPr>
        <w:t>Where estimated contract Value is $50,000 (excl. GST) a single quotation is required.</w:t>
      </w:r>
    </w:p>
    <w:p w14:paraId="4900BD58" w14:textId="2ED6C522" w:rsidR="00D27401" w:rsidRPr="003952F0" w:rsidRDefault="00D27401" w:rsidP="008F67B7">
      <w:pPr>
        <w:pStyle w:val="ListParagraph"/>
        <w:numPr>
          <w:ilvl w:val="0"/>
          <w:numId w:val="10"/>
        </w:numPr>
        <w:rPr>
          <w:color w:val="2C2B2B" w:themeColor="text1"/>
        </w:rPr>
      </w:pPr>
      <w:r w:rsidRPr="003952F0">
        <w:rPr>
          <w:color w:val="2C2B2B" w:themeColor="text1"/>
        </w:rPr>
        <w:lastRenderedPageBreak/>
        <w:t>Where estimated contract Value is over $50,000 (excl. GST) a minimum 3 quotation are required.</w:t>
      </w:r>
    </w:p>
    <w:p w14:paraId="549B12ED" w14:textId="3328EA68" w:rsidR="00337EEC" w:rsidRDefault="00D206D6" w:rsidP="00D206D6">
      <w:r w:rsidRPr="00197D40">
        <w:t xml:space="preserve">The above </w:t>
      </w:r>
      <w:r w:rsidR="00D81D5E" w:rsidRPr="00D27401">
        <w:rPr>
          <w:color w:val="2C2B2B" w:themeColor="text1"/>
        </w:rPr>
        <w:t xml:space="preserve">quoting thresholds </w:t>
      </w:r>
      <w:r w:rsidRPr="00197D40">
        <w:t>d</w:t>
      </w:r>
      <w:r w:rsidR="00D81D5E">
        <w:t>o</w:t>
      </w:r>
      <w:r w:rsidRPr="00197D40">
        <w:t xml:space="preserve"> not override any approved procurement governance requirements developed for an </w:t>
      </w:r>
      <w:r w:rsidR="00AB6222" w:rsidRPr="00197D40">
        <w:t>Agency</w:t>
      </w:r>
      <w:r w:rsidRPr="00197D40">
        <w:t>’s business. Agencies should check the relevant policies for allowable variances from the quote rules.</w:t>
      </w:r>
      <w:r w:rsidR="00805A81" w:rsidRPr="00805A81">
        <w:t xml:space="preserve"> </w:t>
      </w:r>
    </w:p>
    <w:p w14:paraId="6A5FAA06" w14:textId="296620F7" w:rsidR="004A471B" w:rsidRPr="00FF45A9" w:rsidRDefault="00CF370D" w:rsidP="004A471B">
      <w:pPr>
        <w:pStyle w:val="Heading2"/>
      </w:pPr>
      <w:bookmarkStart w:id="22" w:name="_Toc120776907"/>
      <w:r>
        <w:t>6</w:t>
      </w:r>
      <w:r w:rsidR="004A471B">
        <w:t>.</w:t>
      </w:r>
      <w:r w:rsidR="005E2CBA">
        <w:t>3</w:t>
      </w:r>
      <w:r w:rsidR="004A471B">
        <w:tab/>
        <w:t>e</w:t>
      </w:r>
      <w:r w:rsidR="00954B06">
        <w:t>Tendering</w:t>
      </w:r>
      <w:bookmarkEnd w:id="22"/>
      <w:r w:rsidR="00EA3D11">
        <w:t xml:space="preserve"> </w:t>
      </w:r>
    </w:p>
    <w:p w14:paraId="589776C3" w14:textId="5D6BF84F" w:rsidR="004A471B" w:rsidRDefault="004A471B" w:rsidP="00C4086C">
      <w:r>
        <w:t xml:space="preserve">An </w:t>
      </w:r>
      <w:r w:rsidR="00AB6222">
        <w:t>Agency</w:t>
      </w:r>
      <w:r>
        <w:t xml:space="preserve"> </w:t>
      </w:r>
      <w:r w:rsidR="00E76774">
        <w:t>must</w:t>
      </w:r>
      <w:r w:rsidR="00DD5955">
        <w:t xml:space="preserve"> </w:t>
      </w:r>
      <w:r>
        <w:t xml:space="preserve">use </w:t>
      </w:r>
      <w:r w:rsidR="00DD5955">
        <w:t xml:space="preserve">the </w:t>
      </w:r>
      <w:r>
        <w:t xml:space="preserve">eTendering </w:t>
      </w:r>
      <w:r w:rsidR="00DD5955">
        <w:t>Admin Domain</w:t>
      </w:r>
      <w:r w:rsidR="001068C4">
        <w:t xml:space="preserve">, </w:t>
      </w:r>
      <w:hyperlink r:id="rId27" w:history="1">
        <w:r w:rsidR="001068C4" w:rsidRPr="00F00C4D">
          <w:rPr>
            <w:rStyle w:val="Hyperlink"/>
          </w:rPr>
          <w:t>https://www.tenders.nsw.gov.au/?event=admin.login</w:t>
        </w:r>
      </w:hyperlink>
      <w:r w:rsidR="00C67D8F">
        <w:t>,</w:t>
      </w:r>
      <w:r w:rsidR="001068C4">
        <w:t xml:space="preserve"> NSW agencies</w:t>
      </w:r>
      <w:r w:rsidR="00DD5955">
        <w:t xml:space="preserve"> </w:t>
      </w:r>
      <w:r>
        <w:t xml:space="preserve">to release a </w:t>
      </w:r>
      <w:r w:rsidR="00DD5955">
        <w:t xml:space="preserve">tender </w:t>
      </w:r>
      <w:r>
        <w:t>to the market.</w:t>
      </w:r>
    </w:p>
    <w:p w14:paraId="07635497" w14:textId="2DF3F613" w:rsidR="00C57740" w:rsidRDefault="00CF370D" w:rsidP="005C2239">
      <w:pPr>
        <w:pStyle w:val="Heading2"/>
      </w:pPr>
      <w:bookmarkStart w:id="23" w:name="_Toc120776908"/>
      <w:r>
        <w:t>6</w:t>
      </w:r>
      <w:r w:rsidR="00C95D46">
        <w:t>.</w:t>
      </w:r>
      <w:r w:rsidR="005E2CBA">
        <w:t>4</w:t>
      </w:r>
      <w:r w:rsidR="00C95D46">
        <w:tab/>
      </w:r>
      <w:r w:rsidR="00C57740">
        <w:t xml:space="preserve">Contractual </w:t>
      </w:r>
      <w:r w:rsidR="0012425D">
        <w:t>agreement</w:t>
      </w:r>
      <w:r w:rsidR="009620C4">
        <w:t>s</w:t>
      </w:r>
      <w:bookmarkEnd w:id="23"/>
    </w:p>
    <w:p w14:paraId="7924DF31" w14:textId="2DF3AA78" w:rsidR="0032178B" w:rsidRPr="009E75F7" w:rsidRDefault="007D477B">
      <w:pPr>
        <w:tabs>
          <w:tab w:val="num" w:pos="360"/>
        </w:tabs>
      </w:pPr>
      <w:r>
        <w:t>For supplier engagements of up to $2,000,000 (excluding GST), the standard for of agreement forming part of this scheme apply. The onus is on the agency to assess to ensure that the Terms and conditions can adequately govern the engagement, having considered the level of associated risk.</w:t>
      </w:r>
    </w:p>
    <w:p w14:paraId="5CBF69F7" w14:textId="137C6E49" w:rsidR="003A33E7" w:rsidRPr="009E75F7" w:rsidRDefault="003A33E7" w:rsidP="00706A34">
      <w:pPr>
        <w:tabs>
          <w:tab w:val="num" w:pos="360"/>
        </w:tabs>
      </w:pPr>
      <w:r w:rsidRPr="000A6473">
        <w:t xml:space="preserve">If an Agency directly engages a 3rd party </w:t>
      </w:r>
      <w:r w:rsidR="00801ED1" w:rsidRPr="000A6473">
        <w:t>service provider</w:t>
      </w:r>
      <w:r w:rsidRPr="000A6473">
        <w:t xml:space="preserve"> for any works outside of the Standard Form Agreement with the Approved Supplier, then the Approved Supplier is not responsible for the works done by the 3rd party. In case of any issues with the works done by the 3rd party, the Agency buyer will need to resolve them directly with the 3rd party. The Eligible Buyer may use their agency’s own contracting framework for engaging 3rd parties and is outside of the scope of the Standard Form Agreement included in this scheme. </w:t>
      </w:r>
    </w:p>
    <w:p w14:paraId="41DC2BD2" w14:textId="48112964" w:rsidR="005F0798" w:rsidRPr="005F0798" w:rsidRDefault="00CF370D" w:rsidP="005F0798">
      <w:pPr>
        <w:pStyle w:val="Heading2"/>
      </w:pPr>
      <w:bookmarkStart w:id="24" w:name="_Toc120776909"/>
      <w:r>
        <w:t>6</w:t>
      </w:r>
      <w:r w:rsidR="00C95D46">
        <w:t>.</w:t>
      </w:r>
      <w:r w:rsidR="005E2CBA">
        <w:t>5</w:t>
      </w:r>
      <w:r w:rsidR="00C95D46">
        <w:tab/>
      </w:r>
      <w:r w:rsidR="00362204">
        <w:t>Trusts and t</w:t>
      </w:r>
      <w:r w:rsidR="00C4086C">
        <w:t>rustees</w:t>
      </w:r>
      <w:bookmarkEnd w:id="24"/>
    </w:p>
    <w:p w14:paraId="43923FEA" w14:textId="391C2D05" w:rsidR="005F0798" w:rsidRPr="005F0798" w:rsidRDefault="005F0798" w:rsidP="005F0798">
      <w:pPr>
        <w:spacing w:before="0" w:after="0" w:line="240" w:lineRule="auto"/>
        <w:rPr>
          <w:rFonts w:eastAsia="Times New Roman" w:cs="Arial"/>
        </w:rPr>
      </w:pPr>
      <w:r w:rsidRPr="005F0798">
        <w:rPr>
          <w:rFonts w:eastAsia="Times New Roman" w:cs="Arial"/>
        </w:rPr>
        <w:t>When contracting with a trustee, the contracting agency must review the trust deed (and any amendments or variations). The trust deed must contain the power for the trustee to carry out the applicable business activity.</w:t>
      </w:r>
    </w:p>
    <w:p w14:paraId="08F7D8E2" w14:textId="77777777" w:rsidR="005F0798" w:rsidRPr="005F0798" w:rsidRDefault="005F0798" w:rsidP="005F0798">
      <w:pPr>
        <w:pStyle w:val="ListParagraph"/>
        <w:numPr>
          <w:ilvl w:val="0"/>
          <w:numId w:val="0"/>
        </w:numPr>
        <w:spacing w:before="0" w:after="0" w:line="240" w:lineRule="auto"/>
        <w:ind w:left="3"/>
        <w:rPr>
          <w:rFonts w:eastAsia="Times New Roman" w:cs="Arial"/>
        </w:rPr>
      </w:pPr>
    </w:p>
    <w:p w14:paraId="7E613CA2" w14:textId="69DC8FDF" w:rsidR="005F0798" w:rsidRDefault="005F0798" w:rsidP="005F0798">
      <w:pPr>
        <w:spacing w:before="0" w:after="0" w:line="240" w:lineRule="auto"/>
        <w:rPr>
          <w:rFonts w:eastAsia="Times New Roman" w:cs="Arial"/>
        </w:rPr>
      </w:pPr>
      <w:r w:rsidRPr="005F0798">
        <w:rPr>
          <w:rFonts w:eastAsia="Times New Roman" w:cs="Arial"/>
        </w:rPr>
        <w:t>When contracting with a trustee, the contracting agency must review the financial capacity of the trust by asking for applicable financial statements prepared for the trust (or most recent tax return).</w:t>
      </w:r>
    </w:p>
    <w:p w14:paraId="4D884B7B" w14:textId="77777777" w:rsidR="005F0798" w:rsidRPr="005F0798" w:rsidRDefault="005F0798" w:rsidP="005F0798">
      <w:pPr>
        <w:spacing w:before="0" w:after="0" w:line="240" w:lineRule="auto"/>
        <w:rPr>
          <w:rFonts w:eastAsia="Times New Roman" w:cs="Arial"/>
        </w:rPr>
      </w:pPr>
    </w:p>
    <w:p w14:paraId="1528D7E8" w14:textId="6640B7FB" w:rsidR="005F0798" w:rsidRPr="005F0798" w:rsidRDefault="005F0798" w:rsidP="005F0798">
      <w:pPr>
        <w:spacing w:before="0" w:after="0" w:line="240" w:lineRule="auto"/>
        <w:rPr>
          <w:rFonts w:eastAsia="Times New Roman" w:cs="Arial"/>
        </w:rPr>
      </w:pPr>
      <w:r w:rsidRPr="005F0798">
        <w:rPr>
          <w:rFonts w:eastAsia="Times New Roman" w:cs="Arial"/>
        </w:rPr>
        <w:t xml:space="preserve">When contracting with a trustee, the trustee must be described as “XYZ Pty Ltd ACN 123 456 789 as trustee for the XYZ Trust  ABN 12 345 678 912”. Only stating “XYZ Trust” is insufficient, as the “Trust” is not a separate legal entity, rather it is a description of the relationship between the trustee and the trust’s beneficiaries. The ABN should be verified against the Australian Business Register </w:t>
      </w:r>
      <w:hyperlink r:id="rId28" w:history="1">
        <w:r w:rsidRPr="005F0798">
          <w:rPr>
            <w:rStyle w:val="Hyperlink"/>
            <w:rFonts w:eastAsia="Times New Roman" w:cs="Arial"/>
          </w:rPr>
          <w:t>https://www.abr.business.gov.au/</w:t>
        </w:r>
      </w:hyperlink>
      <w:r w:rsidRPr="005F0798">
        <w:rPr>
          <w:rFonts w:eastAsia="Times New Roman" w:cs="Arial"/>
        </w:rPr>
        <w:t>.</w:t>
      </w:r>
    </w:p>
    <w:p w14:paraId="3EAB9E86" w14:textId="4B7EAAB1" w:rsidR="004C5B74" w:rsidRDefault="00CF370D" w:rsidP="00015D68">
      <w:pPr>
        <w:pStyle w:val="Heading1"/>
      </w:pPr>
      <w:bookmarkStart w:id="25" w:name="_Toc120776910"/>
      <w:r>
        <w:t>7</w:t>
      </w:r>
      <w:r w:rsidR="00C95D46">
        <w:tab/>
      </w:r>
      <w:r w:rsidR="00C4086C">
        <w:t xml:space="preserve">Contractor </w:t>
      </w:r>
      <w:r w:rsidR="004C5B74">
        <w:t>P</w:t>
      </w:r>
      <w:r w:rsidR="00C4086C">
        <w:t>erformance</w:t>
      </w:r>
      <w:r w:rsidR="004C5B74">
        <w:t xml:space="preserve"> Management</w:t>
      </w:r>
      <w:bookmarkEnd w:id="25"/>
    </w:p>
    <w:p w14:paraId="141C9FEB" w14:textId="07B17A40" w:rsidR="0094794A" w:rsidRDefault="0094794A" w:rsidP="005F0798">
      <w:pPr>
        <w:tabs>
          <w:tab w:val="num" w:pos="360"/>
        </w:tabs>
      </w:pPr>
      <w:r>
        <w:t>For each Project, it is the responsibility of each relevant Agency to monitor and ensure compliance with the Scheme by the Agency and the Approved Supplier.</w:t>
      </w:r>
    </w:p>
    <w:p w14:paraId="292FAD66" w14:textId="77777777" w:rsidR="0094794A" w:rsidRDefault="0094794A" w:rsidP="005F0798">
      <w:pPr>
        <w:tabs>
          <w:tab w:val="num" w:pos="360"/>
        </w:tabs>
      </w:pPr>
      <w:r>
        <w:t>For each Project, the Agency and the Approved Supplier will be responsible for the co-ordination and management between the parties and the performance of the parties’ rights and obligations under the relevant Project Agreement.</w:t>
      </w:r>
    </w:p>
    <w:p w14:paraId="251BF048" w14:textId="77777777" w:rsidR="0094794A" w:rsidRDefault="0094794A" w:rsidP="005F0798">
      <w:pPr>
        <w:tabs>
          <w:tab w:val="num" w:pos="360"/>
        </w:tabs>
      </w:pPr>
      <w:r>
        <w:lastRenderedPageBreak/>
        <w:t xml:space="preserve">An Agency may require an Approved Supplier which it has engaged under a Project Agreement to attend regular performance review meetings to review the performance of the Approved </w:t>
      </w:r>
      <w:r w:rsidRPr="00C6162B">
        <w:t>Supplier’s</w:t>
      </w:r>
      <w:r>
        <w:t xml:space="preserve"> obligations under the Project Agreement, including but not limited to:</w:t>
      </w:r>
    </w:p>
    <w:p w14:paraId="3BDDC5E9" w14:textId="6EFAEF0F" w:rsidR="0094794A" w:rsidRDefault="0094794A" w:rsidP="008F67B7">
      <w:pPr>
        <w:pStyle w:val="ListParagraph"/>
        <w:numPr>
          <w:ilvl w:val="0"/>
          <w:numId w:val="24"/>
        </w:numPr>
      </w:pPr>
      <w:r>
        <w:t>the performance of the Approved Supplier under the Project Agreement;</w:t>
      </w:r>
    </w:p>
    <w:p w14:paraId="45FE479F" w14:textId="7EE0277E" w:rsidR="0094794A" w:rsidRDefault="0094794A" w:rsidP="008F67B7">
      <w:pPr>
        <w:pStyle w:val="ListParagraph"/>
        <w:numPr>
          <w:ilvl w:val="0"/>
          <w:numId w:val="24"/>
        </w:numPr>
      </w:pPr>
      <w:r>
        <w:t>the occurrence of any defects in the goods or materials supplied, or works carried out, under the Project Agreement and the actions the Approved Supplier has undertaken or will undertake to resolve the defects; and</w:t>
      </w:r>
    </w:p>
    <w:p w14:paraId="515ECE75" w14:textId="6113F774" w:rsidR="006D6959" w:rsidRDefault="0094794A" w:rsidP="008F67B7">
      <w:pPr>
        <w:pStyle w:val="ListParagraph"/>
        <w:numPr>
          <w:ilvl w:val="0"/>
          <w:numId w:val="24"/>
        </w:numPr>
      </w:pPr>
      <w:r>
        <w:t>actions that can be taken to improve its performance.</w:t>
      </w:r>
    </w:p>
    <w:p w14:paraId="1FDFA0DB" w14:textId="67A0BCAC" w:rsidR="006614A1" w:rsidRDefault="006614A1" w:rsidP="005F0798">
      <w:pPr>
        <w:tabs>
          <w:tab w:val="num" w:pos="360"/>
        </w:tabs>
      </w:pPr>
      <w:bookmarkStart w:id="26" w:name="_Toc119056605"/>
      <w:r w:rsidRPr="006614A1">
        <w:t xml:space="preserve">If an Approved Supplier’s performance under a Project Agreement is unsatisfactory (including, but not limited to, where there are defects in the </w:t>
      </w:r>
      <w:r>
        <w:t>goods or materials supplied, or works carried out, under the Project Agreement), the Agency must document the unsatisfactory performance and provide the Department details of the unsatisfactory importance.</w:t>
      </w:r>
      <w:bookmarkEnd w:id="26"/>
    </w:p>
    <w:p w14:paraId="612AB691" w14:textId="35F246BF" w:rsidR="006614A1" w:rsidRDefault="006614A1" w:rsidP="005F0798">
      <w:pPr>
        <w:tabs>
          <w:tab w:val="num" w:pos="360"/>
        </w:tabs>
      </w:pPr>
      <w:bookmarkStart w:id="27" w:name="_Toc119056606"/>
      <w:r w:rsidRPr="006614A1">
        <w:t>If an Approved Supplier disagrees with the decisions taken by an Agency under a Project Agreement, the Agency and the Supplier must attempt to resolve the disagreement in the first instance. Without limiting or otherwise affecting the rights and obligations of the Agency and the Supplier under the Project Agreement or otherwise at law, if the Agency and Supplier are unable to resolve the disagreement, the Supplier may request the Department to help resolve the disagreement by submitting a request with details of the disagreement to:</w:t>
      </w:r>
      <w:bookmarkEnd w:id="27"/>
    </w:p>
    <w:p w14:paraId="7D87FF52" w14:textId="54110937" w:rsidR="00BE7AE9" w:rsidRPr="00BC24B8" w:rsidRDefault="00BE7AE9" w:rsidP="00BE7AE9">
      <w:pPr>
        <w:ind w:left="720"/>
      </w:pPr>
      <w:bookmarkStart w:id="28" w:name="_Toc119056607"/>
      <w:r w:rsidRPr="00BC24B8">
        <w:t>Scheme Manager</w:t>
      </w:r>
      <w:r w:rsidRPr="00BC24B8">
        <w:br/>
        <w:t xml:space="preserve">Scheme: </w:t>
      </w:r>
      <w:r w:rsidR="00DC2508" w:rsidRPr="00DC2508">
        <w:t>SCM13381</w:t>
      </w:r>
      <w:r w:rsidRPr="00BC24B8">
        <w:br/>
        <w:t>NSW Treasury,</w:t>
      </w:r>
      <w:r w:rsidRPr="00BC24B8">
        <w:br/>
        <w:t>52 Martin Place</w:t>
      </w:r>
      <w:r w:rsidRPr="00BC24B8">
        <w:br/>
        <w:t>SYDNEY NSW 2000</w:t>
      </w:r>
      <w:bookmarkEnd w:id="28"/>
    </w:p>
    <w:p w14:paraId="655ADD2E" w14:textId="77777777" w:rsidR="00BE7AE9" w:rsidRPr="00D82418" w:rsidRDefault="00BE7AE9" w:rsidP="00BE7AE9">
      <w:pPr>
        <w:ind w:left="720"/>
        <w:rPr>
          <w:b/>
          <w:bCs/>
        </w:rPr>
      </w:pPr>
      <w:bookmarkStart w:id="29" w:name="_Toc119056608"/>
      <w:r w:rsidRPr="00D82418">
        <w:rPr>
          <w:b/>
          <w:bCs/>
        </w:rPr>
        <w:t>AND</w:t>
      </w:r>
      <w:bookmarkEnd w:id="29"/>
    </w:p>
    <w:bookmarkStart w:id="30" w:name="_Toc119056609"/>
    <w:p w14:paraId="69E4193B" w14:textId="5BFA3CF0" w:rsidR="00BE7AE9" w:rsidRPr="00BC24B8" w:rsidRDefault="007B6576" w:rsidP="00BE7AE9">
      <w:pPr>
        <w:ind w:left="720"/>
      </w:pPr>
      <w:r>
        <w:fldChar w:fldCharType="begin"/>
      </w:r>
      <w:r>
        <w:instrText xml:space="preserve"> HYPERLINK "mailto:</w:instrText>
      </w:r>
      <w:r w:rsidRPr="00BC24B8">
        <w:instrText>NSWGFleetElectrification@treasury.nsw.gov.au</w:instrText>
      </w:r>
      <w:r>
        <w:instrText xml:space="preserve">" </w:instrText>
      </w:r>
      <w:r>
        <w:fldChar w:fldCharType="separate"/>
      </w:r>
      <w:r w:rsidRPr="00181FCE">
        <w:rPr>
          <w:rStyle w:val="Hyperlink"/>
        </w:rPr>
        <w:t>NSWGFleetElectrification@treasury.nsw.gov.au</w:t>
      </w:r>
      <w:r>
        <w:fldChar w:fldCharType="end"/>
      </w:r>
      <w:r>
        <w:t xml:space="preserve"> </w:t>
      </w:r>
      <w:r w:rsidR="00BE7AE9" w:rsidRPr="00BC24B8">
        <w:t>(sent with full email signature).</w:t>
      </w:r>
      <w:bookmarkEnd w:id="30"/>
    </w:p>
    <w:p w14:paraId="43E4439A" w14:textId="2C9B6F1A" w:rsidR="00804D7A" w:rsidRDefault="00804D7A" w:rsidP="005F0798">
      <w:pPr>
        <w:tabs>
          <w:tab w:val="num" w:pos="360"/>
        </w:tabs>
      </w:pPr>
      <w:r>
        <w:t>If the Scheme Manager receives a request the Scheme Manager may:</w:t>
      </w:r>
    </w:p>
    <w:p w14:paraId="27024FF3" w14:textId="10F50308" w:rsidR="00804D7A" w:rsidRDefault="00804D7A" w:rsidP="005F0798">
      <w:pPr>
        <w:ind w:left="360"/>
      </w:pPr>
      <w:r>
        <w:t>for any reason, decline to assist with resolving the disagreement;</w:t>
      </w:r>
    </w:p>
    <w:p w14:paraId="1EC1F16D" w14:textId="0053997B" w:rsidR="00804D7A" w:rsidRDefault="00804D7A" w:rsidP="005F0798">
      <w:pPr>
        <w:ind w:left="360"/>
      </w:pPr>
      <w:r>
        <w:t>arrange a meeting between the Approved Supplier and the Agency to discuss the matter;</w:t>
      </w:r>
    </w:p>
    <w:p w14:paraId="11579567" w14:textId="0C3608B9" w:rsidR="00804D7A" w:rsidRDefault="00804D7A" w:rsidP="005F0798">
      <w:pPr>
        <w:ind w:left="360"/>
      </w:pPr>
      <w:r>
        <w:t>assist with resolving the disagreement in consultation with the Department; and</w:t>
      </w:r>
    </w:p>
    <w:p w14:paraId="327CEC74" w14:textId="12949993" w:rsidR="00BE7AE9" w:rsidRPr="006614A1" w:rsidRDefault="00804D7A" w:rsidP="005F0798">
      <w:pPr>
        <w:ind w:left="360"/>
      </w:pPr>
      <w:r>
        <w:t>recommend a solution to the Agency and the Approved Supplier.</w:t>
      </w:r>
    </w:p>
    <w:p w14:paraId="5292DA04" w14:textId="77777777" w:rsidR="002D5456" w:rsidRPr="002D5456" w:rsidRDefault="002D5456" w:rsidP="005F0798">
      <w:pPr>
        <w:tabs>
          <w:tab w:val="num" w:pos="360"/>
        </w:tabs>
      </w:pPr>
      <w:bookmarkStart w:id="31" w:name="_Toc119056611"/>
      <w:r w:rsidRPr="002D5456">
        <w:t>The Department will manage the performance of Approved Suppliers by:</w:t>
      </w:r>
      <w:bookmarkEnd w:id="31"/>
    </w:p>
    <w:p w14:paraId="66C29C26" w14:textId="77777777" w:rsidR="002D5456" w:rsidRPr="00BC24B8" w:rsidRDefault="002D5456" w:rsidP="008F67B7">
      <w:pPr>
        <w:pStyle w:val="ListParagraph"/>
        <w:numPr>
          <w:ilvl w:val="0"/>
          <w:numId w:val="26"/>
        </w:numPr>
      </w:pPr>
      <w:r w:rsidRPr="00BC24B8">
        <w:t>monitoring performance on tendering, financial capability</w:t>
      </w:r>
      <w:r w:rsidRPr="002D5456">
        <w:t>, compliance with the NSW Procurement Policy Framework</w:t>
      </w:r>
      <w:r w:rsidRPr="00BC24B8">
        <w:t xml:space="preserve">, </w:t>
      </w:r>
      <w:r>
        <w:t>performance under Project Agreements</w:t>
      </w:r>
      <w:r w:rsidRPr="00BC24B8">
        <w:t xml:space="preserve"> and Project outputs and outcomes</w:t>
      </w:r>
      <w:r>
        <w:t xml:space="preserve">, including </w:t>
      </w:r>
      <w:r w:rsidRPr="002D5456">
        <w:t>but not limited to Contractor Performance Reports (CPR’s) submit by an agency in respect to a suppliers performance;</w:t>
      </w:r>
    </w:p>
    <w:p w14:paraId="52ED4FB2" w14:textId="77777777" w:rsidR="002D5456" w:rsidRPr="00BC24B8" w:rsidRDefault="002D5456" w:rsidP="008F67B7">
      <w:pPr>
        <w:pStyle w:val="ListParagraph"/>
        <w:numPr>
          <w:ilvl w:val="0"/>
          <w:numId w:val="26"/>
        </w:numPr>
      </w:pPr>
      <w:r w:rsidRPr="00BC24B8">
        <w:t>applying sanctions where performance is determined to be unsatisfactory, such as temporary suspension from the Scheme</w:t>
      </w:r>
      <w:r>
        <w:t xml:space="preserve"> Procurement List</w:t>
      </w:r>
      <w:r w:rsidRPr="00BC24B8">
        <w:t>;</w:t>
      </w:r>
    </w:p>
    <w:p w14:paraId="75173D19" w14:textId="77777777" w:rsidR="002D5456" w:rsidRPr="00BC24B8" w:rsidRDefault="002D5456" w:rsidP="008F67B7">
      <w:pPr>
        <w:pStyle w:val="ListParagraph"/>
        <w:numPr>
          <w:ilvl w:val="0"/>
          <w:numId w:val="26"/>
        </w:numPr>
      </w:pPr>
      <w:r>
        <w:t>removing</w:t>
      </w:r>
      <w:r w:rsidRPr="00BC24B8">
        <w:t xml:space="preserve"> an Approved Supplier </w:t>
      </w:r>
      <w:r>
        <w:t>from</w:t>
      </w:r>
      <w:r w:rsidRPr="00BC24B8">
        <w:t xml:space="preserve"> the Scheme</w:t>
      </w:r>
      <w:r>
        <w:t xml:space="preserve"> Procurement List</w:t>
      </w:r>
      <w:r w:rsidRPr="00BC24B8">
        <w:t>, following due consideration of the circumstances, where performance is determined to be unsatisfactory; and</w:t>
      </w:r>
    </w:p>
    <w:p w14:paraId="178FD555" w14:textId="2EDA7008" w:rsidR="002D5456" w:rsidRDefault="002D5456" w:rsidP="008F67B7">
      <w:pPr>
        <w:pStyle w:val="ListParagraph"/>
        <w:numPr>
          <w:ilvl w:val="0"/>
          <w:numId w:val="26"/>
        </w:numPr>
      </w:pPr>
      <w:r w:rsidRPr="00BC24B8">
        <w:t xml:space="preserve">providing the opportunity for an Approved Supplier to request a review of the </w:t>
      </w:r>
      <w:r>
        <w:t>decision</w:t>
      </w:r>
      <w:r w:rsidR="1AF590FA">
        <w:t>(s)</w:t>
      </w:r>
      <w:r w:rsidRPr="00BC24B8">
        <w:t xml:space="preserve"> referred in paragraphs (b) and (c) above.</w:t>
      </w:r>
    </w:p>
    <w:p w14:paraId="383162A3" w14:textId="32666B7A" w:rsidR="00C4086C" w:rsidRDefault="00CF370D" w:rsidP="005C2239">
      <w:pPr>
        <w:pStyle w:val="Heading1"/>
      </w:pPr>
      <w:bookmarkStart w:id="32" w:name="_Toc120776911"/>
      <w:r>
        <w:lastRenderedPageBreak/>
        <w:t>8</w:t>
      </w:r>
      <w:r w:rsidR="00C95D46">
        <w:tab/>
      </w:r>
      <w:r w:rsidR="0040652A">
        <w:t xml:space="preserve">Review and Development of the </w:t>
      </w:r>
      <w:r w:rsidR="00833719">
        <w:t>Scheme</w:t>
      </w:r>
      <w:bookmarkEnd w:id="32"/>
    </w:p>
    <w:p w14:paraId="59A1E027" w14:textId="122FFAB5" w:rsidR="00C4086C" w:rsidRDefault="005B2A5C" w:rsidP="00C4086C">
      <w:r>
        <w:t>NSW Procurement</w:t>
      </w:r>
      <w:r w:rsidR="00C4086C">
        <w:t xml:space="preserve"> provides a small, dedicated team to administer the </w:t>
      </w:r>
      <w:r w:rsidR="00833719">
        <w:t>Scheme</w:t>
      </w:r>
      <w:r w:rsidR="00C4086C">
        <w:t xml:space="preserve"> and assist agencies and </w:t>
      </w:r>
      <w:r w:rsidR="00AB6222">
        <w:t>Supplier</w:t>
      </w:r>
      <w:r w:rsidR="00775B17">
        <w:t>s</w:t>
      </w:r>
      <w:r w:rsidR="00C4086C">
        <w:t xml:space="preserve"> with enquiries</w:t>
      </w:r>
      <w:r w:rsidR="00C2646A">
        <w:t xml:space="preserve"> and feedback for continuous improvement</w:t>
      </w:r>
      <w:r w:rsidR="00C4086C">
        <w:t xml:space="preserve">. Contact </w:t>
      </w:r>
      <w:hyperlink r:id="rId29" w:history="1">
        <w:r w:rsidRPr="00321DF1">
          <w:rPr>
            <w:rStyle w:val="Hyperlink"/>
          </w:rPr>
          <w:t>NSWGFleetElectrification@treasury.nsw.gov.au</w:t>
        </w:r>
      </w:hyperlink>
      <w:r w:rsidR="00C4086C">
        <w:t xml:space="preserve"> </w:t>
      </w:r>
    </w:p>
    <w:p w14:paraId="12C2BDAA" w14:textId="3C733283" w:rsidR="006675BD" w:rsidRPr="00E922B8" w:rsidRDefault="00CF370D" w:rsidP="006675BD">
      <w:pPr>
        <w:pStyle w:val="Heading1"/>
      </w:pPr>
      <w:bookmarkStart w:id="33" w:name="_Terms_and_definitions"/>
      <w:bookmarkStart w:id="34" w:name="_Toc120776912"/>
      <w:bookmarkEnd w:id="33"/>
      <w:r>
        <w:t>9</w:t>
      </w:r>
      <w:r w:rsidR="006675BD">
        <w:tab/>
      </w:r>
      <w:r w:rsidR="006675BD" w:rsidRPr="00E922B8">
        <w:t>NSW Procurement Policy Framework</w:t>
      </w:r>
      <w:bookmarkEnd w:id="34"/>
    </w:p>
    <w:p w14:paraId="53F2E5E5" w14:textId="6D214975" w:rsidR="006675BD" w:rsidRDefault="006675BD" w:rsidP="006675BD">
      <w:pPr>
        <w:jc w:val="both"/>
        <w:rPr>
          <w:rFonts w:cs="Arial"/>
        </w:rPr>
      </w:pPr>
      <w:r>
        <w:rPr>
          <w:rFonts w:cs="Arial"/>
        </w:rPr>
        <w:t xml:space="preserve">This section provides context about the applicable legislative and policy framework within which the </w:t>
      </w:r>
      <w:r w:rsidR="00833719">
        <w:rPr>
          <w:rFonts w:cs="Arial"/>
        </w:rPr>
        <w:t>Scheme</w:t>
      </w:r>
      <w:r>
        <w:rPr>
          <w:rFonts w:cs="Arial"/>
        </w:rPr>
        <w:t xml:space="preserve"> operates. </w:t>
      </w:r>
    </w:p>
    <w:p w14:paraId="286A5271" w14:textId="48FD989A" w:rsidR="006675BD" w:rsidRDefault="006675BD" w:rsidP="006675BD">
      <w:pPr>
        <w:jc w:val="both"/>
        <w:rPr>
          <w:rFonts w:cs="Arial"/>
        </w:rPr>
      </w:pPr>
      <w:r>
        <w:rPr>
          <w:rFonts w:cs="Arial"/>
        </w:rPr>
        <w:t xml:space="preserve">Suppliers </w:t>
      </w:r>
      <w:r w:rsidR="00F91733">
        <w:rPr>
          <w:rFonts w:cs="Arial"/>
        </w:rPr>
        <w:t xml:space="preserve">and Agencies </w:t>
      </w:r>
      <w:r>
        <w:rPr>
          <w:rFonts w:cs="Arial"/>
        </w:rPr>
        <w:t xml:space="preserve">must at all times comply with all relevant laws and policies, including but not limited to those listed in this section. </w:t>
      </w:r>
      <w:r w:rsidR="00F91733">
        <w:rPr>
          <w:rFonts w:cs="Arial"/>
        </w:rPr>
        <w:t xml:space="preserve">A Supplier’s </w:t>
      </w:r>
      <w:r w:rsidR="00A44C4F">
        <w:rPr>
          <w:rFonts w:cs="Arial"/>
        </w:rPr>
        <w:t>breach</w:t>
      </w:r>
      <w:r>
        <w:rPr>
          <w:rFonts w:cs="Arial"/>
        </w:rPr>
        <w:t xml:space="preserve"> of any relevant policies and/or laws may result in suspension or removal from the </w:t>
      </w:r>
      <w:r w:rsidR="00833719">
        <w:rPr>
          <w:rFonts w:cs="Arial"/>
        </w:rPr>
        <w:t>Scheme</w:t>
      </w:r>
      <w:r>
        <w:rPr>
          <w:rFonts w:cs="Arial"/>
        </w:rPr>
        <w:t>.</w:t>
      </w:r>
    </w:p>
    <w:p w14:paraId="11E98123" w14:textId="77777777" w:rsidR="006675BD" w:rsidRPr="000C0DDE" w:rsidRDefault="006675BD" w:rsidP="006675BD">
      <w:r>
        <w:rPr>
          <w:rFonts w:cs="Arial"/>
        </w:rPr>
        <w:t xml:space="preserve">The </w:t>
      </w:r>
      <w:hyperlink r:id="rId30" w:history="1">
        <w:r>
          <w:rPr>
            <w:rStyle w:val="Hyperlink"/>
            <w:rFonts w:cs="Arial"/>
          </w:rPr>
          <w:t>NSW Procurement Policy Framework</w:t>
        </w:r>
      </w:hyperlink>
      <w:r>
        <w:rPr>
          <w:rFonts w:cs="Arial"/>
        </w:rPr>
        <w:t xml:space="preserve"> provides a consolidated view of government procurement objectives and the Procurement Board’s requirements as they apply to each step of the procurement process.</w:t>
      </w:r>
    </w:p>
    <w:p w14:paraId="460BC526" w14:textId="7FAA77E4" w:rsidR="006675BD" w:rsidRDefault="00CF370D" w:rsidP="006675BD">
      <w:pPr>
        <w:pStyle w:val="Heading2"/>
        <w:rPr>
          <w:rStyle w:val="Hyperlink"/>
          <w:color w:val="000000"/>
        </w:rPr>
      </w:pPr>
      <w:bookmarkStart w:id="35" w:name="_Toc54878033"/>
      <w:bookmarkStart w:id="36" w:name="_Toc120776913"/>
      <w:r>
        <w:t>9</w:t>
      </w:r>
      <w:r w:rsidR="006675BD">
        <w:t>.1</w:t>
      </w:r>
      <w:r w:rsidR="006675BD">
        <w:tab/>
        <w:t>Procurement Board Directions</w:t>
      </w:r>
      <w:bookmarkEnd w:id="35"/>
      <w:bookmarkEnd w:id="36"/>
      <w:r w:rsidR="006675BD">
        <w:rPr>
          <w:rStyle w:val="Hyperlink"/>
          <w:color w:val="000000"/>
        </w:rPr>
        <w:tab/>
      </w:r>
    </w:p>
    <w:p w14:paraId="4C972DCD" w14:textId="66B5252B" w:rsidR="006675BD" w:rsidRDefault="006675BD" w:rsidP="006675BD">
      <w:pPr>
        <w:rPr>
          <w:rStyle w:val="Hyperlink"/>
          <w:color w:val="000000"/>
        </w:rPr>
      </w:pPr>
      <w:r>
        <w:t>From time to time the NSW Procurement Board issues Directions under</w:t>
      </w:r>
      <w:r w:rsidRPr="004E3752">
        <w:t xml:space="preserve"> the </w:t>
      </w:r>
      <w:hyperlink r:id="rId31" w:anchor="/view/act/1912/45" w:history="1">
        <w:r w:rsidRPr="005C237E">
          <w:rPr>
            <w:rStyle w:val="Hyperlink"/>
          </w:rPr>
          <w:t>Public Works and Procurement Act 1912</w:t>
        </w:r>
      </w:hyperlink>
      <w:r w:rsidRPr="004E3752">
        <w:t>.</w:t>
      </w:r>
      <w:r>
        <w:t xml:space="preserve"> These Directions determine the rules and guidelines around public sector procurement within the NSW Government. A library of all current Directions in force can be found on </w:t>
      </w:r>
      <w:r w:rsidRPr="00CA0FAE">
        <w:t xml:space="preserve">the </w:t>
      </w:r>
      <w:hyperlink r:id="rId32" w:history="1">
        <w:r w:rsidR="00CA0FAE" w:rsidRPr="00CA0FAE">
          <w:rPr>
            <w:rStyle w:val="Hyperlink"/>
          </w:rPr>
          <w:t>buy</w:t>
        </w:r>
        <w:r w:rsidRPr="00CA0FAE">
          <w:rPr>
            <w:rStyle w:val="Hyperlink"/>
          </w:rPr>
          <w:t>.</w:t>
        </w:r>
        <w:r w:rsidR="00CA0FAE" w:rsidRPr="00CA0FAE">
          <w:rPr>
            <w:rStyle w:val="Hyperlink"/>
          </w:rPr>
          <w:t>NSW</w:t>
        </w:r>
        <w:r w:rsidRPr="00CA0FAE">
          <w:rPr>
            <w:rStyle w:val="Hyperlink"/>
          </w:rPr>
          <w:t xml:space="preserve"> website</w:t>
        </w:r>
      </w:hyperlink>
      <w:r w:rsidRPr="00CA0FAE">
        <w:t>.</w:t>
      </w:r>
    </w:p>
    <w:p w14:paraId="5EC4F9FF" w14:textId="3DF7148D" w:rsidR="006675BD" w:rsidRDefault="00CF370D" w:rsidP="006675BD">
      <w:pPr>
        <w:pStyle w:val="Heading2"/>
      </w:pPr>
      <w:bookmarkStart w:id="37" w:name="_Toc54878034"/>
      <w:bookmarkStart w:id="38" w:name="_Toc120776914"/>
      <w:r>
        <w:t>9</w:t>
      </w:r>
      <w:r w:rsidR="006675BD">
        <w:t>.2</w:t>
      </w:r>
      <w:r w:rsidR="006675BD">
        <w:tab/>
        <w:t>Enforceable Procurement Provisions</w:t>
      </w:r>
      <w:bookmarkEnd w:id="37"/>
      <w:bookmarkEnd w:id="38"/>
    </w:p>
    <w:p w14:paraId="45B79463" w14:textId="3A135215" w:rsidR="006675BD" w:rsidRPr="0090041B" w:rsidRDefault="006675BD" w:rsidP="006675BD">
      <w:pPr>
        <w:rPr>
          <w:rStyle w:val="Hyperlink"/>
          <w:color w:val="auto"/>
        </w:rPr>
      </w:pPr>
      <w:r>
        <w:t xml:space="preserve">The NSW Government issued a Direction in response to its obligations under international procurement agreements. The </w:t>
      </w:r>
      <w:hyperlink r:id="rId33" w:history="1">
        <w:r w:rsidRPr="00C57B7D">
          <w:rPr>
            <w:rStyle w:val="Hyperlink"/>
          </w:rPr>
          <w:t>Procurement (Enforceable Procurement Provisions) Direction 2019</w:t>
        </w:r>
      </w:hyperlink>
      <w:r>
        <w:t xml:space="preserve"> under the Public Works and Procurement Act 1912 includes provisions about how Government must engage with its Supplier market in a way that is fair, open and transparent to all Suppliers, including international Suppliers. </w:t>
      </w:r>
    </w:p>
    <w:p w14:paraId="28B22155" w14:textId="4177FF0F" w:rsidR="006675BD" w:rsidRDefault="00CF370D" w:rsidP="006675BD">
      <w:pPr>
        <w:pStyle w:val="Heading2"/>
      </w:pPr>
      <w:bookmarkStart w:id="39" w:name="_Toc54878036"/>
      <w:bookmarkStart w:id="40" w:name="_Toc120776915"/>
      <w:bookmarkStart w:id="41" w:name="_Toc11319146"/>
      <w:r>
        <w:rPr>
          <w:rStyle w:val="Hyperlink"/>
          <w:color w:val="000000"/>
        </w:rPr>
        <w:t>9</w:t>
      </w:r>
      <w:r w:rsidR="006675BD">
        <w:rPr>
          <w:rStyle w:val="Hyperlink"/>
          <w:color w:val="000000"/>
        </w:rPr>
        <w:t>.</w:t>
      </w:r>
      <w:r w:rsidR="00547129">
        <w:rPr>
          <w:rStyle w:val="Hyperlink"/>
          <w:color w:val="000000"/>
        </w:rPr>
        <w:t>3</w:t>
      </w:r>
      <w:r w:rsidR="006675BD">
        <w:rPr>
          <w:rStyle w:val="Hyperlink"/>
          <w:color w:val="000000"/>
        </w:rPr>
        <w:tab/>
      </w:r>
      <w:r w:rsidR="006675BD" w:rsidRPr="00ED0DD5">
        <w:t>NSW Government Supplier Code of Conduct</w:t>
      </w:r>
      <w:bookmarkEnd w:id="39"/>
      <w:bookmarkEnd w:id="40"/>
    </w:p>
    <w:p w14:paraId="54B58FE5" w14:textId="77777777" w:rsidR="006675BD" w:rsidRDefault="006675BD" w:rsidP="006675BD">
      <w:r>
        <w:t>The NSW Government strives to conduct sustainable and inclusive government procurement.</w:t>
      </w:r>
    </w:p>
    <w:p w14:paraId="545E321C" w14:textId="77777777" w:rsidR="006675BD" w:rsidRDefault="006675BD" w:rsidP="006675BD">
      <w:r>
        <w:t>Our Suppliers are our partners in delivering the best social and commercial outcomes for the state of NSW and its citizens.</w:t>
      </w:r>
    </w:p>
    <w:p w14:paraId="3CB547EB" w14:textId="77777777" w:rsidR="006675BD" w:rsidRDefault="006675BD" w:rsidP="006675BD">
      <w:r>
        <w:t xml:space="preserve">The NSW Government requires all Suppliers to comply with relevant standards of behaviour and must report findings of dishonest, unfair, unconscionable, corrupt or illegal conduct to the NSW Procurement Board. </w:t>
      </w:r>
      <w:r w:rsidRPr="005A3E85">
        <w:t>These requirements are essential to business confidence in the NSW Government’s procurement regime as well as public trust more broadly in the Government’s decision-making processes.</w:t>
      </w:r>
    </w:p>
    <w:p w14:paraId="1194E3DB" w14:textId="7C7C49F9" w:rsidR="006675BD" w:rsidRDefault="006675BD" w:rsidP="006675BD">
      <w:r>
        <w:t xml:space="preserve">A minimum set of expectations and behaviours for doing business with NSW Government has been articulated in the </w:t>
      </w:r>
      <w:hyperlink r:id="rId34" w:history="1">
        <w:r w:rsidRPr="00FA4FEF">
          <w:rPr>
            <w:rStyle w:val="Hyperlink"/>
          </w:rPr>
          <w:t>Supplier Code of Conduct</w:t>
        </w:r>
      </w:hyperlink>
      <w:r>
        <w:t xml:space="preserve">. All Applicants and Suppliers to this </w:t>
      </w:r>
      <w:r w:rsidR="00833719">
        <w:t>Scheme</w:t>
      </w:r>
      <w:r>
        <w:t xml:space="preserve"> must comply with it and must have a satisfactory record of compliance with the Code. This also includes ensuring that Suppliers and their subcontractors, consultants, and contractors comply with their legal obligations regarding their employees.</w:t>
      </w:r>
    </w:p>
    <w:p w14:paraId="17F6081A" w14:textId="77777777" w:rsidR="006675BD" w:rsidRDefault="006675BD" w:rsidP="006675BD">
      <w:r>
        <w:lastRenderedPageBreak/>
        <w:t xml:space="preserve">Applicants and Suppliers must further comply with the </w:t>
      </w:r>
      <w:hyperlink r:id="rId35" w:history="1">
        <w:r w:rsidRPr="008E3EF5">
          <w:rPr>
            <w:rStyle w:val="Hyperlink"/>
          </w:rPr>
          <w:t>NSW Industrial Relations Guidelines: Building and Construction</w:t>
        </w:r>
      </w:hyperlink>
      <w:r>
        <w:t>.</w:t>
      </w:r>
    </w:p>
    <w:p w14:paraId="31562374" w14:textId="683B0123" w:rsidR="006675BD" w:rsidRDefault="00CF370D" w:rsidP="006675BD">
      <w:pPr>
        <w:pStyle w:val="Heading2"/>
        <w:rPr>
          <w:rStyle w:val="Hyperlink"/>
          <w:color w:val="000000"/>
        </w:rPr>
      </w:pPr>
      <w:bookmarkStart w:id="42" w:name="_Toc54878037"/>
      <w:bookmarkStart w:id="43" w:name="_Toc120776916"/>
      <w:r>
        <w:rPr>
          <w:rStyle w:val="Hyperlink"/>
          <w:color w:val="000000"/>
        </w:rPr>
        <w:t>9</w:t>
      </w:r>
      <w:r w:rsidR="006675BD">
        <w:rPr>
          <w:rStyle w:val="Hyperlink"/>
          <w:color w:val="000000"/>
        </w:rPr>
        <w:t>.</w:t>
      </w:r>
      <w:r w:rsidR="00547129">
        <w:rPr>
          <w:rStyle w:val="Hyperlink"/>
          <w:color w:val="000000"/>
        </w:rPr>
        <w:t>4</w:t>
      </w:r>
      <w:r w:rsidR="006675BD">
        <w:rPr>
          <w:rStyle w:val="Hyperlink"/>
          <w:color w:val="000000"/>
        </w:rPr>
        <w:tab/>
      </w:r>
      <w:r w:rsidR="006675BD" w:rsidRPr="00824DF0">
        <w:rPr>
          <w:rStyle w:val="Hyperlink"/>
          <w:color w:val="000000"/>
        </w:rPr>
        <w:t>Small and Medium Enterprise (SME) and Regional Procurement</w:t>
      </w:r>
      <w:bookmarkEnd w:id="41"/>
      <w:bookmarkEnd w:id="42"/>
      <w:bookmarkEnd w:id="43"/>
      <w:r w:rsidR="006675BD" w:rsidRPr="00824DF0">
        <w:rPr>
          <w:rStyle w:val="Hyperlink"/>
          <w:color w:val="000000"/>
        </w:rPr>
        <w:t xml:space="preserve"> </w:t>
      </w:r>
      <w:bookmarkStart w:id="44" w:name="_Toc11319147"/>
    </w:p>
    <w:p w14:paraId="509AF946" w14:textId="2C248CC2" w:rsidR="006675BD" w:rsidRDefault="006675BD" w:rsidP="006675BD">
      <w:r>
        <w:t xml:space="preserve">The NSW Government is seeking to strengthen its </w:t>
      </w:r>
      <w:hyperlink r:id="rId36" w:history="1">
        <w:r w:rsidRPr="001F19E3">
          <w:rPr>
            <w:rStyle w:val="Hyperlink"/>
          </w:rPr>
          <w:t>Small and Medium Enterprise and Regional Procurement Policy</w:t>
        </w:r>
      </w:hyperlink>
      <w:r>
        <w:t xml:space="preserve">. This will provide greater opportunities for SMEs and local businesses in regional NSW. </w:t>
      </w:r>
    </w:p>
    <w:p w14:paraId="6459CDFD" w14:textId="6CFDBC23" w:rsidR="006675BD" w:rsidRDefault="006675BD" w:rsidP="006675BD">
      <w:r>
        <w:t xml:space="preserve">The </w:t>
      </w:r>
      <w:r w:rsidR="00833719">
        <w:t>Scheme</w:t>
      </w:r>
      <w:r>
        <w:t xml:space="preserve"> Application process will identify small and medium businesses with the appropriate capability and capacity to participate in projects. Applicants are expected to select only those regions that their current capacity and capability can support.</w:t>
      </w:r>
    </w:p>
    <w:p w14:paraId="025FA508" w14:textId="321D5574" w:rsidR="0018718F" w:rsidRDefault="006423E3" w:rsidP="0018718F">
      <w:r w:rsidRPr="00C05D48">
        <w:t xml:space="preserve">For </w:t>
      </w:r>
      <w:r>
        <w:rPr>
          <w:rStyle w:val="Hyperlink"/>
        </w:rPr>
        <w:t>further</w:t>
      </w:r>
      <w:r w:rsidR="0018718F" w:rsidRPr="00A112AB">
        <w:t xml:space="preserve"> information refer to </w:t>
      </w:r>
      <w:hyperlink r:id="rId37" w:history="1">
        <w:r w:rsidR="0018718F" w:rsidRPr="00BC195B">
          <w:rPr>
            <w:rStyle w:val="Hyperlink"/>
          </w:rPr>
          <w:t xml:space="preserve">the </w:t>
        </w:r>
        <w:r w:rsidR="0018718F" w:rsidRPr="002472F0">
          <w:rPr>
            <w:rStyle w:val="Hyperlink"/>
          </w:rPr>
          <w:t>Procurement Board Direction PBD20</w:t>
        </w:r>
        <w:r w:rsidR="0018718F">
          <w:rPr>
            <w:rStyle w:val="Hyperlink"/>
          </w:rPr>
          <w:t>19</w:t>
        </w:r>
        <w:r w:rsidR="0018718F" w:rsidRPr="002472F0">
          <w:rPr>
            <w:rStyle w:val="Hyperlink"/>
          </w:rPr>
          <w:t>-03</w:t>
        </w:r>
      </w:hyperlink>
      <w:r w:rsidR="0018718F" w:rsidRPr="00A112AB">
        <w:t xml:space="preserve"> on Buy.NSW</w:t>
      </w:r>
    </w:p>
    <w:p w14:paraId="14F3638A" w14:textId="48FEB019" w:rsidR="006675BD" w:rsidRDefault="00CF370D" w:rsidP="006675BD">
      <w:pPr>
        <w:pStyle w:val="Heading2"/>
        <w:rPr>
          <w:rStyle w:val="Hyperlink"/>
          <w:color w:val="000000"/>
        </w:rPr>
      </w:pPr>
      <w:bookmarkStart w:id="45" w:name="_Toc54878038"/>
      <w:bookmarkStart w:id="46" w:name="_Toc120776917"/>
      <w:r>
        <w:rPr>
          <w:rStyle w:val="Hyperlink"/>
          <w:color w:val="000000"/>
        </w:rPr>
        <w:t>9</w:t>
      </w:r>
      <w:r w:rsidR="006675BD">
        <w:rPr>
          <w:rStyle w:val="Hyperlink"/>
          <w:color w:val="000000"/>
        </w:rPr>
        <w:t>.</w:t>
      </w:r>
      <w:r w:rsidR="00547129">
        <w:rPr>
          <w:rStyle w:val="Hyperlink"/>
          <w:color w:val="000000"/>
        </w:rPr>
        <w:t>5</w:t>
      </w:r>
      <w:r w:rsidR="006675BD">
        <w:rPr>
          <w:rStyle w:val="Hyperlink"/>
          <w:color w:val="000000"/>
        </w:rPr>
        <w:tab/>
      </w:r>
      <w:bookmarkEnd w:id="44"/>
      <w:bookmarkEnd w:id="45"/>
      <w:r w:rsidR="00D4140D" w:rsidRPr="0044214C">
        <w:rPr>
          <w:rStyle w:val="Hyperlink"/>
          <w:color w:val="000000"/>
        </w:rPr>
        <w:t xml:space="preserve">Aboriginal </w:t>
      </w:r>
      <w:r w:rsidR="00D4140D" w:rsidRPr="003139EC">
        <w:rPr>
          <w:rStyle w:val="Hyperlink"/>
          <w:color w:val="000000"/>
        </w:rPr>
        <w:t>Procurement</w:t>
      </w:r>
      <w:r w:rsidR="00D4140D">
        <w:rPr>
          <w:rFonts w:ascii="Montserrat" w:hAnsi="Montserrat"/>
          <w:shd w:val="clear" w:color="auto" w:fill="F5F5F5"/>
        </w:rPr>
        <w:t xml:space="preserve"> </w:t>
      </w:r>
      <w:r w:rsidR="00D4140D" w:rsidRPr="003139EC">
        <w:rPr>
          <w:rStyle w:val="Hyperlink"/>
          <w:color w:val="000000"/>
        </w:rPr>
        <w:t>Policy</w:t>
      </w:r>
      <w:r w:rsidR="00D4140D">
        <w:rPr>
          <w:rStyle w:val="Hyperlink"/>
          <w:color w:val="000000"/>
        </w:rPr>
        <w:t xml:space="preserve"> (APP)</w:t>
      </w:r>
      <w:bookmarkEnd w:id="46"/>
    </w:p>
    <w:p w14:paraId="1546C924" w14:textId="77777777" w:rsidR="00D4140D" w:rsidRPr="00C563EA" w:rsidRDefault="00D4140D" w:rsidP="00D4140D">
      <w:bookmarkStart w:id="47" w:name="_Toc54878039"/>
      <w:r w:rsidRPr="00C563EA">
        <w:t>The AP</w:t>
      </w:r>
      <w:r>
        <w:t>P</w:t>
      </w:r>
      <w:r w:rsidRPr="00C563EA">
        <w:t xml:space="preserve"> recognises that industry has a key role to play in broadening opportunities for Aboriginal people and that the NSW Government can use its relationship with business to deliver positive social outcomes.</w:t>
      </w:r>
    </w:p>
    <w:p w14:paraId="579F1F0D" w14:textId="77777777" w:rsidR="00D4140D" w:rsidRPr="00E13753" w:rsidRDefault="00D4140D" w:rsidP="00D4140D">
      <w:r>
        <w:t>The APP</w:t>
      </w:r>
      <w:r w:rsidRPr="001D3EB8">
        <w:t xml:space="preserve"> has been </w:t>
      </w:r>
      <w:r>
        <w:t xml:space="preserve">developed to </w:t>
      </w:r>
      <w:r w:rsidRPr="00C717FC">
        <w:t>create opportunities for Aboriginal owned businesses and encourage Aboriginal employment and training through the supply chain of NSW Government contracts.</w:t>
      </w:r>
      <w:r>
        <w:t xml:space="preserve"> The Scheme Application process will ask applicants if they are an Aboriginal business, as defined by the </w:t>
      </w:r>
      <w:hyperlink r:id="rId38" w:history="1">
        <w:r w:rsidRPr="00222C9E">
          <w:rPr>
            <w:rStyle w:val="Hyperlink"/>
          </w:rPr>
          <w:t>APP.</w:t>
        </w:r>
      </w:hyperlink>
    </w:p>
    <w:p w14:paraId="63F29147" w14:textId="5D1C14CF" w:rsidR="006675BD" w:rsidRPr="00C05D48" w:rsidRDefault="00260551" w:rsidP="006675BD">
      <w:pPr>
        <w:pStyle w:val="Heading2"/>
      </w:pPr>
      <w:bookmarkStart w:id="48" w:name="_Toc54878040"/>
      <w:bookmarkStart w:id="49" w:name="_Toc120776918"/>
      <w:bookmarkEnd w:id="47"/>
      <w:r>
        <w:t>9</w:t>
      </w:r>
      <w:r w:rsidR="006675BD" w:rsidRPr="00C05D48">
        <w:t>.</w:t>
      </w:r>
      <w:r w:rsidR="000D51EB">
        <w:t>6</w:t>
      </w:r>
      <w:r w:rsidR="006675BD" w:rsidRPr="00C05D48">
        <w:tab/>
        <w:t>Modern Slavery Legislation</w:t>
      </w:r>
      <w:bookmarkEnd w:id="48"/>
      <w:bookmarkEnd w:id="49"/>
    </w:p>
    <w:p w14:paraId="14DF7827" w14:textId="13C861D1" w:rsidR="00FC767E" w:rsidRDefault="00FC767E" w:rsidP="00FC767E">
      <w:bookmarkStart w:id="50" w:name="_Hlk96605882"/>
      <w:r>
        <w:t xml:space="preserve">The </w:t>
      </w:r>
      <w:hyperlink r:id="rId39" w:tgtFrame="_blank" w:history="1">
        <w:r w:rsidRPr="007943FC">
          <w:rPr>
            <w:rStyle w:val="Hyperlink"/>
          </w:rPr>
          <w:t>Modern Slavery Act 2018</w:t>
        </w:r>
      </w:hyperlink>
      <w:r>
        <w:rPr>
          <w:rStyle w:val="Hyperlink"/>
        </w:rPr>
        <w:t xml:space="preserve"> </w:t>
      </w:r>
      <w:r w:rsidRPr="007943FC">
        <w:rPr>
          <w:rStyle w:val="Hyperlink"/>
        </w:rPr>
        <w:t>(NSW)</w:t>
      </w:r>
      <w:r>
        <w:t xml:space="preserve"> came into effect on 01 January 2022. The Act recognises that modern slavery is prevalent around the world and in </w:t>
      </w:r>
      <w:r w:rsidR="000D51EB">
        <w:t>NSW and</w:t>
      </w:r>
      <w:r>
        <w:t xml:space="preserve"> sets out steps to ensure NSW is not contributing to these crimes. </w:t>
      </w:r>
    </w:p>
    <w:p w14:paraId="5C1131BB" w14:textId="451DDE74" w:rsidR="00FC767E" w:rsidRDefault="00FC767E" w:rsidP="00FC767E">
      <w:r>
        <w:t xml:space="preserve">Applicants and Suppliers are expected to comply with the </w:t>
      </w:r>
      <w:hyperlink r:id="rId40" w:history="1">
        <w:r w:rsidRPr="002C6A48">
          <w:rPr>
            <w:rStyle w:val="Hyperlink"/>
          </w:rPr>
          <w:t>Commonwealth Modern Slavery Act 2018</w:t>
        </w:r>
      </w:hyperlink>
      <w:r>
        <w:rPr>
          <w:rStyle w:val="Hyperlink"/>
        </w:rPr>
        <w:t xml:space="preserve"> </w:t>
      </w:r>
      <w:r>
        <w:t xml:space="preserve"> and the </w:t>
      </w:r>
      <w:hyperlink r:id="rId41" w:tgtFrame="_blank" w:history="1">
        <w:r w:rsidRPr="007943FC">
          <w:rPr>
            <w:rStyle w:val="Hyperlink"/>
          </w:rPr>
          <w:t>Modern Slavery Act 2018</w:t>
        </w:r>
      </w:hyperlink>
      <w:r w:rsidRPr="007943FC">
        <w:rPr>
          <w:rStyle w:val="Hyperlink"/>
        </w:rPr>
        <w:t> (NSW)</w:t>
      </w:r>
      <w:r>
        <w:t>. Refer to the following link for more information about Modern Slavery and Procurement:</w:t>
      </w:r>
    </w:p>
    <w:p w14:paraId="1AADAA4D" w14:textId="77777777" w:rsidR="00FC767E" w:rsidRPr="00E73BE3" w:rsidRDefault="00807A31" w:rsidP="00FC767E">
      <w:hyperlink r:id="rId42" w:history="1">
        <w:r w:rsidR="00FC767E" w:rsidRPr="007D3732">
          <w:rPr>
            <w:rStyle w:val="Hyperlink"/>
          </w:rPr>
          <w:t>https://buy.nsw.gov.au/resources/modern-slavery-and-procurement</w:t>
        </w:r>
      </w:hyperlink>
    </w:p>
    <w:p w14:paraId="3CEBCEBA" w14:textId="49B8B8E1" w:rsidR="006675BD" w:rsidRDefault="00060F72" w:rsidP="006675BD">
      <w:pPr>
        <w:pStyle w:val="Heading2"/>
      </w:pPr>
      <w:bookmarkStart w:id="51" w:name="_Toc54878041"/>
      <w:bookmarkStart w:id="52" w:name="_Toc120776919"/>
      <w:bookmarkEnd w:id="50"/>
      <w:r>
        <w:t>9</w:t>
      </w:r>
      <w:r w:rsidR="006675BD">
        <w:t>.</w:t>
      </w:r>
      <w:r w:rsidR="00EA5C20">
        <w:t>7</w:t>
      </w:r>
      <w:r w:rsidR="006675BD">
        <w:t xml:space="preserve"> </w:t>
      </w:r>
      <w:r w:rsidR="006675BD">
        <w:tab/>
        <w:t>Disability organisations</w:t>
      </w:r>
      <w:bookmarkEnd w:id="51"/>
      <w:bookmarkEnd w:id="52"/>
      <w:r w:rsidR="006675BD">
        <w:t xml:space="preserve"> </w:t>
      </w:r>
    </w:p>
    <w:p w14:paraId="3D6680F3" w14:textId="77777777" w:rsidR="006675BD" w:rsidRPr="00C134E3" w:rsidRDefault="006675BD" w:rsidP="006675BD">
      <w:r w:rsidRPr="00C134E3">
        <w:t>An Australian Disability Enterprise (ADE) is a not-for-profit organisation that employs people with disabilities. ADEs have the same working conditions as other employers and they empower the disabled to contribute to their communities.</w:t>
      </w:r>
    </w:p>
    <w:p w14:paraId="5F5C5753" w14:textId="70812F62" w:rsidR="00CA5350" w:rsidRDefault="006675BD" w:rsidP="006675BD">
      <w:pPr>
        <w:spacing w:before="0" w:after="160" w:line="259" w:lineRule="auto"/>
        <w:rPr>
          <w:color w:val="002664"/>
          <w:sz w:val="40"/>
          <w:szCs w:val="60"/>
        </w:rPr>
      </w:pPr>
      <w:r w:rsidRPr="00C134E3">
        <w:t xml:space="preserve">NSW Government agencies </w:t>
      </w:r>
      <w:hyperlink r:id="rId43" w:history="1">
        <w:r w:rsidRPr="00C134E3">
          <w:rPr>
            <w:rStyle w:val="Hyperlink"/>
          </w:rPr>
          <w:t>are encouraged to buy from ADE organisations</w:t>
        </w:r>
      </w:hyperlink>
      <w:r w:rsidRPr="00C134E3">
        <w:rPr>
          <w:rStyle w:val="Hyperlink"/>
        </w:rPr>
        <w:t xml:space="preserve"> </w:t>
      </w:r>
      <w:r w:rsidRPr="00C134E3">
        <w:t>where possible</w:t>
      </w:r>
      <w:r w:rsidR="00CA5350">
        <w:br w:type="page"/>
      </w:r>
    </w:p>
    <w:p w14:paraId="5A387416" w14:textId="45F3C353" w:rsidR="00C4086C" w:rsidRDefault="008B56C1" w:rsidP="008C590B">
      <w:pPr>
        <w:pStyle w:val="Heading1"/>
      </w:pPr>
      <w:bookmarkStart w:id="53" w:name="_Toc120776920"/>
      <w:r>
        <w:lastRenderedPageBreak/>
        <w:t>Attachment A</w:t>
      </w:r>
      <w:r>
        <w:tab/>
      </w:r>
      <w:r w:rsidR="00C4086C">
        <w:t>Terms and definitions</w:t>
      </w:r>
      <w:bookmarkEnd w:id="53"/>
    </w:p>
    <w:p w14:paraId="5CE1F462" w14:textId="77777777" w:rsidR="008C590B" w:rsidRPr="008C590B" w:rsidRDefault="008C590B" w:rsidP="008C590B"/>
    <w:tbl>
      <w:tblPr>
        <w:tblStyle w:val="TableGrid"/>
        <w:tblW w:w="0" w:type="auto"/>
        <w:tblLook w:val="04A0" w:firstRow="1" w:lastRow="0" w:firstColumn="1" w:lastColumn="0" w:noHBand="0" w:noVBand="1"/>
      </w:tblPr>
      <w:tblGrid>
        <w:gridCol w:w="4819"/>
        <w:gridCol w:w="4819"/>
      </w:tblGrid>
      <w:tr w:rsidR="008C590B" w14:paraId="086A90FB" w14:textId="77777777" w:rsidTr="00BA7721">
        <w:trPr>
          <w:cnfStyle w:val="100000000000" w:firstRow="1" w:lastRow="0" w:firstColumn="0" w:lastColumn="0" w:oddVBand="0" w:evenVBand="0" w:oddHBand="0" w:evenHBand="0" w:firstRowFirstColumn="0" w:firstRowLastColumn="0" w:lastRowFirstColumn="0" w:lastRowLastColumn="0"/>
        </w:trPr>
        <w:tc>
          <w:tcPr>
            <w:tcW w:w="4819" w:type="dxa"/>
          </w:tcPr>
          <w:p w14:paraId="677E9E5C" w14:textId="77777777" w:rsidR="008C590B" w:rsidRDefault="008C590B" w:rsidP="00BA7721">
            <w:r>
              <w:t>Term</w:t>
            </w:r>
          </w:p>
        </w:tc>
        <w:tc>
          <w:tcPr>
            <w:tcW w:w="4819" w:type="dxa"/>
          </w:tcPr>
          <w:p w14:paraId="7F8E128C" w14:textId="77777777" w:rsidR="008C590B" w:rsidRDefault="008C590B" w:rsidP="00BA7721">
            <w:r>
              <w:t>Definition</w:t>
            </w:r>
          </w:p>
        </w:tc>
      </w:tr>
      <w:tr w:rsidR="00F037D6" w14:paraId="0D58F916" w14:textId="77777777" w:rsidTr="00BA7721">
        <w:tc>
          <w:tcPr>
            <w:tcW w:w="4819" w:type="dxa"/>
          </w:tcPr>
          <w:p w14:paraId="7B489411" w14:textId="5BA3CC6B" w:rsidR="00F037D6" w:rsidRPr="00530D84" w:rsidRDefault="003414AD" w:rsidP="00F037D6">
            <w:pPr>
              <w:rPr>
                <w:szCs w:val="20"/>
              </w:rPr>
            </w:pPr>
            <w:r>
              <w:rPr>
                <w:rFonts w:asciiTheme="minorHAnsi" w:eastAsia="Arial Bold" w:hAnsiTheme="minorHAnsi" w:cs="Arial"/>
                <w:b/>
                <w:color w:val="000000"/>
                <w:sz w:val="22"/>
                <w:lang w:eastAsia="en-AU"/>
              </w:rPr>
              <w:t>A</w:t>
            </w:r>
            <w:r w:rsidRPr="00BC6479">
              <w:rPr>
                <w:rFonts w:asciiTheme="minorHAnsi" w:eastAsia="Arial Bold" w:hAnsiTheme="minorHAnsi" w:cs="Arial"/>
                <w:b/>
                <w:color w:val="000000"/>
                <w:sz w:val="22"/>
                <w:lang w:eastAsia="en-AU"/>
              </w:rPr>
              <w:t>gency</w:t>
            </w:r>
          </w:p>
        </w:tc>
        <w:tc>
          <w:tcPr>
            <w:tcW w:w="4819" w:type="dxa"/>
          </w:tcPr>
          <w:p w14:paraId="2A655ACB" w14:textId="46DF8ECD" w:rsidR="00F037D6" w:rsidRDefault="00F25AE7" w:rsidP="006A3117">
            <w:pPr>
              <w:pStyle w:val="DFSITableBodyText"/>
            </w:pPr>
            <w:r w:rsidRPr="00F25AE7">
              <w:t>Agency includes NSW Government departments, statutory authorities, statutory corporations and government business enterprises.</w:t>
            </w:r>
          </w:p>
        </w:tc>
      </w:tr>
      <w:tr w:rsidR="00F037D6" w14:paraId="74EF8595" w14:textId="77777777" w:rsidTr="00BA7721">
        <w:tc>
          <w:tcPr>
            <w:tcW w:w="4819" w:type="dxa"/>
          </w:tcPr>
          <w:p w14:paraId="29588494" w14:textId="6115E8D1" w:rsidR="00F037D6" w:rsidRPr="00C27661" w:rsidRDefault="00C27661" w:rsidP="00F037D6">
            <w:pPr>
              <w:rPr>
                <w:b/>
                <w:bCs/>
                <w:szCs w:val="20"/>
              </w:rPr>
            </w:pPr>
            <w:r w:rsidRPr="00C27661">
              <w:rPr>
                <w:b/>
                <w:bCs/>
              </w:rPr>
              <w:t>Annual Procurement Plan</w:t>
            </w:r>
          </w:p>
        </w:tc>
        <w:tc>
          <w:tcPr>
            <w:tcW w:w="4819" w:type="dxa"/>
          </w:tcPr>
          <w:p w14:paraId="43E2F576" w14:textId="289780FB" w:rsidR="00F037D6" w:rsidRDefault="00C27661" w:rsidP="006A3117">
            <w:pPr>
              <w:pStyle w:val="DFSITableBodyText"/>
            </w:pPr>
            <w:r w:rsidRPr="00C27661">
              <w:t>Annual Procurement Plan means a document published on NSW eTendering through which a government Agency provides a short summary of its procurement intentions for the coming year and information regarding significant procurements it plans to undertake.</w:t>
            </w:r>
          </w:p>
        </w:tc>
      </w:tr>
      <w:tr w:rsidR="008C590B" w14:paraId="093CF8DC" w14:textId="77777777" w:rsidTr="00BA7721">
        <w:tc>
          <w:tcPr>
            <w:tcW w:w="4819" w:type="dxa"/>
          </w:tcPr>
          <w:p w14:paraId="23E49D8A" w14:textId="040C43B1" w:rsidR="008C590B" w:rsidRPr="003543BE" w:rsidRDefault="003543BE" w:rsidP="00BA7721">
            <w:pPr>
              <w:rPr>
                <w:b/>
                <w:bCs/>
              </w:rPr>
            </w:pPr>
            <w:r w:rsidRPr="003543BE">
              <w:rPr>
                <w:b/>
                <w:bCs/>
              </w:rPr>
              <w:t>Applicant</w:t>
            </w:r>
          </w:p>
        </w:tc>
        <w:tc>
          <w:tcPr>
            <w:tcW w:w="4819" w:type="dxa"/>
          </w:tcPr>
          <w:p w14:paraId="147C8D14" w14:textId="5D008B7A" w:rsidR="008C590B" w:rsidRDefault="003543BE" w:rsidP="00BA7721">
            <w:pPr>
              <w:pStyle w:val="DFSITableBodyText"/>
            </w:pPr>
            <w:r w:rsidRPr="003543BE">
              <w:t>Applicant means a person who has applied to be included in the Scheme Procurement List.</w:t>
            </w:r>
          </w:p>
        </w:tc>
      </w:tr>
      <w:tr w:rsidR="008C590B" w14:paraId="134F19CD" w14:textId="77777777" w:rsidTr="00BA7721">
        <w:tc>
          <w:tcPr>
            <w:tcW w:w="4819" w:type="dxa"/>
          </w:tcPr>
          <w:p w14:paraId="0323B311" w14:textId="6080F900" w:rsidR="008C590B" w:rsidRPr="00B02658" w:rsidRDefault="00B02658" w:rsidP="00BA7721">
            <w:pPr>
              <w:rPr>
                <w:b/>
                <w:bCs/>
              </w:rPr>
            </w:pPr>
            <w:r w:rsidRPr="00B02658">
              <w:rPr>
                <w:b/>
                <w:bCs/>
              </w:rPr>
              <w:t>Application</w:t>
            </w:r>
          </w:p>
        </w:tc>
        <w:tc>
          <w:tcPr>
            <w:tcW w:w="4819" w:type="dxa"/>
          </w:tcPr>
          <w:p w14:paraId="0B994DEC" w14:textId="52D39110" w:rsidR="008C590B" w:rsidRDefault="00B02658" w:rsidP="00BA7721">
            <w:r w:rsidRPr="00B02658">
              <w:t>Application means online application made via the “Supplier Application Form” on the NSW Procurement website.</w:t>
            </w:r>
          </w:p>
        </w:tc>
      </w:tr>
      <w:tr w:rsidR="008C590B" w14:paraId="47DE540C" w14:textId="77777777" w:rsidTr="00BA7721">
        <w:tc>
          <w:tcPr>
            <w:tcW w:w="4819" w:type="dxa"/>
          </w:tcPr>
          <w:p w14:paraId="5C9D8762" w14:textId="4E9896CE" w:rsidR="008C590B" w:rsidRPr="00365540" w:rsidRDefault="00365540" w:rsidP="00BA7721">
            <w:pPr>
              <w:rPr>
                <w:b/>
                <w:bCs/>
              </w:rPr>
            </w:pPr>
            <w:r w:rsidRPr="00365540">
              <w:rPr>
                <w:b/>
                <w:bCs/>
              </w:rPr>
              <w:t>Approved Supplier</w:t>
            </w:r>
          </w:p>
        </w:tc>
        <w:tc>
          <w:tcPr>
            <w:tcW w:w="4819" w:type="dxa"/>
          </w:tcPr>
          <w:p w14:paraId="225F94DB" w14:textId="798BC34E" w:rsidR="008C590B" w:rsidRDefault="00365540" w:rsidP="00BA7721">
            <w:pPr>
              <w:pStyle w:val="DFSITableBodyText"/>
            </w:pPr>
            <w:r w:rsidRPr="00365540">
              <w:t>Approved Supplier means a person who has been included in the Scheme Procurement List.</w:t>
            </w:r>
          </w:p>
        </w:tc>
      </w:tr>
      <w:tr w:rsidR="008C590B" w14:paraId="1676D0D5" w14:textId="77777777" w:rsidTr="00BA7721">
        <w:tc>
          <w:tcPr>
            <w:tcW w:w="4819" w:type="dxa"/>
          </w:tcPr>
          <w:p w14:paraId="374B3CEE" w14:textId="052A3662" w:rsidR="008C590B" w:rsidRPr="00B347BC" w:rsidRDefault="00B347BC" w:rsidP="00BA7721">
            <w:pPr>
              <w:rPr>
                <w:b/>
                <w:bCs/>
              </w:rPr>
            </w:pPr>
            <w:r w:rsidRPr="00B347BC">
              <w:rPr>
                <w:b/>
                <w:bCs/>
              </w:rPr>
              <w:t>Assessment Committee</w:t>
            </w:r>
          </w:p>
        </w:tc>
        <w:tc>
          <w:tcPr>
            <w:tcW w:w="4819" w:type="dxa"/>
          </w:tcPr>
          <w:p w14:paraId="239E9996" w14:textId="7387352B" w:rsidR="008C590B" w:rsidRDefault="00B347BC" w:rsidP="00B347BC">
            <w:pPr>
              <w:pStyle w:val="DFSITableBodyText"/>
            </w:pPr>
            <w:r w:rsidRPr="00B347BC">
              <w:t>Assessment Committee means the entity appointed by the Department to evaluate and determine the eligibility of suppliers to be included in the Scheme Procurement List.</w:t>
            </w:r>
          </w:p>
        </w:tc>
      </w:tr>
      <w:tr w:rsidR="008C590B" w14:paraId="435EBFF5" w14:textId="77777777" w:rsidTr="00BA7721">
        <w:tc>
          <w:tcPr>
            <w:tcW w:w="4819" w:type="dxa"/>
          </w:tcPr>
          <w:p w14:paraId="67363DD7" w14:textId="6923B9F3" w:rsidR="008C590B" w:rsidRPr="00287DA4" w:rsidRDefault="00287DA4" w:rsidP="00BA7721">
            <w:pPr>
              <w:rPr>
                <w:b/>
                <w:bCs/>
              </w:rPr>
            </w:pPr>
            <w:r w:rsidRPr="00287DA4">
              <w:rPr>
                <w:b/>
                <w:bCs/>
              </w:rPr>
              <w:t>CAAS Services</w:t>
            </w:r>
          </w:p>
        </w:tc>
        <w:tc>
          <w:tcPr>
            <w:tcW w:w="4819" w:type="dxa"/>
          </w:tcPr>
          <w:p w14:paraId="26EF3F5E" w14:textId="63EAA75E" w:rsidR="008C590B" w:rsidRDefault="00287DA4" w:rsidP="00BA7721">
            <w:pPr>
              <w:pStyle w:val="DFSITableBodyText"/>
            </w:pPr>
            <w:r w:rsidRPr="00287DA4">
              <w:t>CAAS Services means providing “charging-as-a-service” whereby an Agency pays an Approved Supplier on a periodic basis for that Agency to use EVSE owned and operated by the Approved Supplier.</w:t>
            </w:r>
          </w:p>
        </w:tc>
      </w:tr>
      <w:tr w:rsidR="008C590B" w14:paraId="38AC6F0A" w14:textId="77777777" w:rsidTr="00BA7721">
        <w:tc>
          <w:tcPr>
            <w:tcW w:w="4819" w:type="dxa"/>
          </w:tcPr>
          <w:p w14:paraId="24F6E66F" w14:textId="6D4EFEB7" w:rsidR="008C590B" w:rsidRPr="00315D30" w:rsidRDefault="00315D30" w:rsidP="00BA7721">
            <w:pPr>
              <w:rPr>
                <w:b/>
                <w:bCs/>
              </w:rPr>
            </w:pPr>
            <w:r w:rsidRPr="00315D30">
              <w:rPr>
                <w:b/>
                <w:bCs/>
              </w:rPr>
              <w:t>Capabilities</w:t>
            </w:r>
          </w:p>
        </w:tc>
        <w:tc>
          <w:tcPr>
            <w:tcW w:w="4819" w:type="dxa"/>
          </w:tcPr>
          <w:p w14:paraId="3D819262" w14:textId="77777777" w:rsidR="008C590B" w:rsidRDefault="00315D30" w:rsidP="00BA7721">
            <w:pPr>
              <w:pStyle w:val="DFSITableBodyText"/>
            </w:pPr>
            <w:r w:rsidRPr="00315D30">
              <w:t>Capabilities means the capability of a supplier:</w:t>
            </w:r>
          </w:p>
          <w:p w14:paraId="04B28B50" w14:textId="77777777" w:rsidR="00182777" w:rsidRDefault="00182777" w:rsidP="0055714A">
            <w:pPr>
              <w:pStyle w:val="DFSITableBodyText"/>
              <w:tabs>
                <w:tab w:val="num" w:pos="360"/>
              </w:tabs>
            </w:pPr>
            <w:r>
              <w:t xml:space="preserve">to supply (either directly, or via the engagement of subcontractors for whom that supplier remains responsible) EVSE Goods; </w:t>
            </w:r>
          </w:p>
          <w:p w14:paraId="50973455" w14:textId="77777777" w:rsidR="00182777" w:rsidRDefault="00182777" w:rsidP="0055714A">
            <w:pPr>
              <w:pStyle w:val="DFSITableBodyText"/>
              <w:tabs>
                <w:tab w:val="num" w:pos="360"/>
              </w:tabs>
            </w:pPr>
            <w:r>
              <w:t xml:space="preserve">to carry out (either directly, or via the engagement of subcontractors for whom that supplier remains responsible) EVSE Works; </w:t>
            </w:r>
          </w:p>
          <w:p w14:paraId="53BF8A87" w14:textId="77777777" w:rsidR="00182777" w:rsidRDefault="00182777" w:rsidP="0055714A">
            <w:pPr>
              <w:pStyle w:val="DFSITableBodyText"/>
              <w:tabs>
                <w:tab w:val="num" w:pos="360"/>
              </w:tabs>
            </w:pPr>
            <w:r>
              <w:t>to supply (either directly, or via the engagement of subcontractors for whom that supplier remains responsible) Maintenance Services; and/or</w:t>
            </w:r>
          </w:p>
          <w:p w14:paraId="76323B3A" w14:textId="77777777" w:rsidR="00182777" w:rsidRDefault="00182777" w:rsidP="0055714A">
            <w:pPr>
              <w:pStyle w:val="DFSITableBodyText"/>
              <w:tabs>
                <w:tab w:val="num" w:pos="360"/>
              </w:tabs>
            </w:pPr>
            <w:r>
              <w:t>where relevant, as contemplated by section 8.1, to supply (either directly, or via the engagement of subcontractors for whom that supplier remains responsible) CAAS Services,</w:t>
            </w:r>
          </w:p>
          <w:p w14:paraId="2EF2EE4B" w14:textId="00170647" w:rsidR="00182777" w:rsidRDefault="00182777" w:rsidP="00182777">
            <w:pPr>
              <w:pStyle w:val="DFSITableBodyText"/>
            </w:pPr>
            <w:r>
              <w:t>that comply with the EVSE Specification and in accordance with the Scheme.</w:t>
            </w:r>
          </w:p>
        </w:tc>
      </w:tr>
      <w:tr w:rsidR="008C590B" w:rsidRPr="00DB61B4" w14:paraId="2DC5FCB1" w14:textId="77777777" w:rsidTr="00BA7721">
        <w:tc>
          <w:tcPr>
            <w:tcW w:w="4819" w:type="dxa"/>
          </w:tcPr>
          <w:p w14:paraId="2E96B2FE" w14:textId="521F57AB" w:rsidR="008C590B" w:rsidRPr="00347291" w:rsidRDefault="00347291" w:rsidP="00BA7721">
            <w:pPr>
              <w:rPr>
                <w:b/>
                <w:bCs/>
              </w:rPr>
            </w:pPr>
            <w:r w:rsidRPr="00347291">
              <w:rPr>
                <w:b/>
                <w:bCs/>
              </w:rPr>
              <w:lastRenderedPageBreak/>
              <w:t>Confidential Information</w:t>
            </w:r>
          </w:p>
        </w:tc>
        <w:tc>
          <w:tcPr>
            <w:tcW w:w="4819" w:type="dxa"/>
          </w:tcPr>
          <w:p w14:paraId="5BF5C9CB" w14:textId="77777777" w:rsidR="008C590B" w:rsidRDefault="00347291" w:rsidP="00BA7721">
            <w:pPr>
              <w:pStyle w:val="DFSITableBodyText"/>
            </w:pPr>
            <w:r w:rsidRPr="00347291">
              <w:t>Confidential Information means any information and all other knowledge at any time disclosed (whether in writing or orally) by an Agency to an Approved Supplier under, or in connection with, the Scheme or a Project Agreement, which:</w:t>
            </w:r>
          </w:p>
          <w:p w14:paraId="3B703DC8" w14:textId="5BFEFEA4" w:rsidR="000F4F2A" w:rsidRDefault="000F4F2A" w:rsidP="00BA7721">
            <w:pPr>
              <w:pStyle w:val="DFSITableBodyText"/>
            </w:pPr>
          </w:p>
          <w:p w14:paraId="7F0CAFE2" w14:textId="77777777" w:rsidR="00F321D8" w:rsidRDefault="00F321D8" w:rsidP="0055714A">
            <w:pPr>
              <w:pStyle w:val="DFSITableBodyText"/>
              <w:tabs>
                <w:tab w:val="num" w:pos="360"/>
              </w:tabs>
            </w:pPr>
            <w:r>
              <w:t>is by its nature confidential;</w:t>
            </w:r>
          </w:p>
          <w:p w14:paraId="24C46EE8" w14:textId="77777777" w:rsidR="00F321D8" w:rsidRDefault="00F321D8" w:rsidP="0055714A">
            <w:pPr>
              <w:pStyle w:val="DFSITableBodyText"/>
              <w:tabs>
                <w:tab w:val="num" w:pos="360"/>
              </w:tabs>
            </w:pPr>
            <w:r>
              <w:t>is designated, or marked, or stipulated as confidential;</w:t>
            </w:r>
          </w:p>
          <w:p w14:paraId="1EDF9339" w14:textId="77777777" w:rsidR="00F321D8" w:rsidRDefault="00F321D8" w:rsidP="0055714A">
            <w:pPr>
              <w:pStyle w:val="DFSITableBodyText"/>
              <w:tabs>
                <w:tab w:val="num" w:pos="360"/>
              </w:tabs>
            </w:pPr>
            <w:r>
              <w:t>the Approved Supplier knows or reasonably should know is confidential, including but not limited to:</w:t>
            </w:r>
          </w:p>
          <w:p w14:paraId="021FBC7D" w14:textId="0BCE8B3D" w:rsidR="00F321D8" w:rsidRDefault="00F321D8" w:rsidP="0055714A">
            <w:pPr>
              <w:pStyle w:val="DFSITableBodyText"/>
              <w:tabs>
                <w:tab w:val="num" w:pos="360"/>
              </w:tabs>
            </w:pPr>
            <w:r>
              <w:t>the Project Agreement;</w:t>
            </w:r>
          </w:p>
          <w:p w14:paraId="168EC587" w14:textId="604C12A5" w:rsidR="00F321D8" w:rsidRDefault="00F321D8" w:rsidP="0055714A">
            <w:pPr>
              <w:pStyle w:val="DFSITableBodyText"/>
              <w:tabs>
                <w:tab w:val="num" w:pos="360"/>
              </w:tabs>
            </w:pPr>
            <w:r>
              <w:t>any material which belongs to the Agency; and</w:t>
            </w:r>
          </w:p>
          <w:p w14:paraId="7E3C95C5" w14:textId="674EB4FC" w:rsidR="00F321D8" w:rsidRDefault="00F321D8" w:rsidP="0055714A">
            <w:pPr>
              <w:pStyle w:val="DFSITableBodyText"/>
              <w:tabs>
                <w:tab w:val="num" w:pos="360"/>
              </w:tabs>
            </w:pPr>
            <w:r>
              <w:t>any material which relates to the affairs of a third party,</w:t>
            </w:r>
          </w:p>
          <w:p w14:paraId="754AB394" w14:textId="77777777" w:rsidR="00F321D8" w:rsidRDefault="00F321D8" w:rsidP="00F321D8">
            <w:pPr>
              <w:pStyle w:val="DFSITableBodyText"/>
            </w:pPr>
            <w:r>
              <w:t>but does not include information which:</w:t>
            </w:r>
          </w:p>
          <w:p w14:paraId="4DD82F46" w14:textId="07A60B8C" w:rsidR="00F321D8" w:rsidRDefault="00F321D8" w:rsidP="0055714A">
            <w:pPr>
              <w:pStyle w:val="DFSITableBodyText"/>
              <w:tabs>
                <w:tab w:val="num" w:pos="360"/>
              </w:tabs>
            </w:pPr>
            <w:r>
              <w:t>must be disclosed to perform an Approved Supplier’s obligations under the Scheme or a Project Agreement;</w:t>
            </w:r>
          </w:p>
          <w:p w14:paraId="799A69AB" w14:textId="04DE572A" w:rsidR="00F321D8" w:rsidRDefault="00F321D8" w:rsidP="0055714A">
            <w:pPr>
              <w:pStyle w:val="DFSITableBodyText"/>
              <w:tabs>
                <w:tab w:val="num" w:pos="360"/>
              </w:tabs>
            </w:pPr>
            <w:r>
              <w:t>is or becomes public knowledge other than by breach of the Scheme or a Project Agreement;</w:t>
            </w:r>
          </w:p>
          <w:p w14:paraId="33D4ABC6" w14:textId="5568C27E" w:rsidR="00F321D8" w:rsidRDefault="00F321D8" w:rsidP="0055714A">
            <w:pPr>
              <w:pStyle w:val="DFSITableBodyText"/>
              <w:tabs>
                <w:tab w:val="num" w:pos="360"/>
              </w:tabs>
            </w:pPr>
            <w:r>
              <w:t>is in the lawful possession of the Approved Supplier without restriction in relation to disclosure before the date of receipt of the information from the Agency or a third party; or</w:t>
            </w:r>
          </w:p>
          <w:p w14:paraId="665D8BB8" w14:textId="265C7513" w:rsidR="00F321D8" w:rsidRPr="00DB61B4" w:rsidRDefault="00F321D8" w:rsidP="0055714A">
            <w:pPr>
              <w:pStyle w:val="DFSITableBodyText"/>
              <w:tabs>
                <w:tab w:val="num" w:pos="360"/>
              </w:tabs>
            </w:pPr>
            <w:r>
              <w:t>is required to be disclosed pursuant to law or any legal process.</w:t>
            </w:r>
          </w:p>
        </w:tc>
      </w:tr>
      <w:tr w:rsidR="008C590B" w:rsidRPr="006C037B" w14:paraId="6B3D0949" w14:textId="77777777" w:rsidTr="00BA7721">
        <w:tc>
          <w:tcPr>
            <w:tcW w:w="4819" w:type="dxa"/>
          </w:tcPr>
          <w:p w14:paraId="36BC1A68" w14:textId="223CE809" w:rsidR="008C590B" w:rsidRPr="00677D2F" w:rsidRDefault="00677D2F" w:rsidP="00BA7721">
            <w:pPr>
              <w:rPr>
                <w:b/>
                <w:bCs/>
              </w:rPr>
            </w:pPr>
            <w:r w:rsidRPr="00677D2F">
              <w:rPr>
                <w:b/>
                <w:bCs/>
              </w:rPr>
              <w:t>Department</w:t>
            </w:r>
          </w:p>
        </w:tc>
        <w:tc>
          <w:tcPr>
            <w:tcW w:w="4819" w:type="dxa"/>
          </w:tcPr>
          <w:p w14:paraId="694DDDA6" w14:textId="6225891C" w:rsidR="008C590B" w:rsidRPr="006C037B" w:rsidRDefault="00677D2F" w:rsidP="00BA7721">
            <w:pPr>
              <w:pStyle w:val="DFSITableBodyText"/>
            </w:pPr>
            <w:r w:rsidRPr="00677D2F">
              <w:t>Department means the NSW Department of Treasury, unless otherwise specified.</w:t>
            </w:r>
          </w:p>
        </w:tc>
      </w:tr>
      <w:tr w:rsidR="008C590B" w14:paraId="7AC3E3F2" w14:textId="77777777" w:rsidTr="00BA7721">
        <w:tc>
          <w:tcPr>
            <w:tcW w:w="4819" w:type="dxa"/>
          </w:tcPr>
          <w:p w14:paraId="1F9A2983" w14:textId="6F7D633B" w:rsidR="008C590B" w:rsidRPr="00390406" w:rsidRDefault="00390406" w:rsidP="00BA7721">
            <w:pPr>
              <w:rPr>
                <w:b/>
                <w:bCs/>
              </w:rPr>
            </w:pPr>
            <w:r w:rsidRPr="00390406">
              <w:rPr>
                <w:b/>
                <w:bCs/>
              </w:rPr>
              <w:t>Electric Vehicle Supply Equipment (EVSE)</w:t>
            </w:r>
          </w:p>
        </w:tc>
        <w:tc>
          <w:tcPr>
            <w:tcW w:w="4819" w:type="dxa"/>
          </w:tcPr>
          <w:p w14:paraId="783740F5" w14:textId="3B76E92F" w:rsidR="008C590B" w:rsidRDefault="00390406" w:rsidP="00BA7721">
            <w:pPr>
              <w:pStyle w:val="DFSITableBodyText"/>
            </w:pPr>
            <w:r w:rsidRPr="00390406">
              <w:t>Electric Vehicle Supply Equipment (EVSE) means charging hardware used to supply electricity to an electric vehicle.</w:t>
            </w:r>
          </w:p>
        </w:tc>
      </w:tr>
      <w:tr w:rsidR="008C590B" w14:paraId="794E486E" w14:textId="77777777" w:rsidTr="00BA7721">
        <w:tc>
          <w:tcPr>
            <w:tcW w:w="4819" w:type="dxa"/>
          </w:tcPr>
          <w:p w14:paraId="2C143868" w14:textId="2913D065" w:rsidR="008C590B" w:rsidRPr="005C649B" w:rsidRDefault="008B054A" w:rsidP="00BA7721">
            <w:pPr>
              <w:rPr>
                <w:b/>
                <w:bCs/>
              </w:rPr>
            </w:pPr>
            <w:r w:rsidRPr="005C649B">
              <w:rPr>
                <w:b/>
                <w:bCs/>
              </w:rPr>
              <w:t>EVSE</w:t>
            </w:r>
            <w:r w:rsidR="005C649B" w:rsidRPr="005C649B">
              <w:rPr>
                <w:b/>
                <w:bCs/>
              </w:rPr>
              <w:t xml:space="preserve"> Goods</w:t>
            </w:r>
          </w:p>
        </w:tc>
        <w:tc>
          <w:tcPr>
            <w:tcW w:w="4819" w:type="dxa"/>
          </w:tcPr>
          <w:p w14:paraId="1EC4A72E" w14:textId="3BA0C25C" w:rsidR="008C590B" w:rsidRDefault="008B054A" w:rsidP="00BA7721">
            <w:pPr>
              <w:pStyle w:val="DFSITableBodyText"/>
            </w:pPr>
            <w:r w:rsidRPr="008B054A">
              <w:t>EVSE Goods means EVSE and other hardware used in connection with EVSE.</w:t>
            </w:r>
          </w:p>
        </w:tc>
      </w:tr>
      <w:tr w:rsidR="008C590B" w:rsidRPr="00B40EBD" w14:paraId="609FF9BB" w14:textId="77777777" w:rsidTr="00BA7721">
        <w:tc>
          <w:tcPr>
            <w:tcW w:w="4819" w:type="dxa"/>
          </w:tcPr>
          <w:p w14:paraId="4B3D910E" w14:textId="4D177104" w:rsidR="008C590B" w:rsidRPr="00677E69" w:rsidRDefault="00677E69" w:rsidP="00BA7721">
            <w:pPr>
              <w:rPr>
                <w:b/>
                <w:bCs/>
              </w:rPr>
            </w:pPr>
            <w:r w:rsidRPr="00677E69">
              <w:rPr>
                <w:b/>
                <w:bCs/>
              </w:rPr>
              <w:t>EVSE Services</w:t>
            </w:r>
          </w:p>
        </w:tc>
        <w:tc>
          <w:tcPr>
            <w:tcW w:w="4819" w:type="dxa"/>
          </w:tcPr>
          <w:p w14:paraId="61BD87D8" w14:textId="77777777" w:rsidR="00677E69" w:rsidRDefault="00677E69" w:rsidP="00677E69">
            <w:pPr>
              <w:pStyle w:val="DFSITableBodyText"/>
            </w:pPr>
            <w:r>
              <w:t>EVSE Services means services provided in relation to EVSE, including but not limited to:</w:t>
            </w:r>
          </w:p>
          <w:p w14:paraId="3B98D36C" w14:textId="77777777" w:rsidR="00677E69" w:rsidRDefault="00677E69" w:rsidP="0055714A">
            <w:pPr>
              <w:pStyle w:val="DFSITableBodyText"/>
              <w:tabs>
                <w:tab w:val="num" w:pos="360"/>
              </w:tabs>
            </w:pPr>
            <w:r>
              <w:t>Maintenance Services; and</w:t>
            </w:r>
          </w:p>
          <w:p w14:paraId="13F2B1E9" w14:textId="6123F5C8" w:rsidR="008C590B" w:rsidRPr="00677E69" w:rsidRDefault="00677E69" w:rsidP="0055714A">
            <w:pPr>
              <w:pStyle w:val="DFSITableBodyText"/>
              <w:tabs>
                <w:tab w:val="num" w:pos="360"/>
              </w:tabs>
            </w:pPr>
            <w:r w:rsidRPr="00677E69">
              <w:t>CAAS Services.</w:t>
            </w:r>
          </w:p>
        </w:tc>
      </w:tr>
      <w:tr w:rsidR="008C590B" w14:paraId="6AAB22BE" w14:textId="77777777" w:rsidTr="00BA7721">
        <w:tc>
          <w:tcPr>
            <w:tcW w:w="4819" w:type="dxa"/>
          </w:tcPr>
          <w:p w14:paraId="743C5CB6" w14:textId="3D20FB70" w:rsidR="008C590B" w:rsidRPr="001A7CB8" w:rsidRDefault="001A7CB8" w:rsidP="00BA7721">
            <w:pPr>
              <w:rPr>
                <w:b/>
                <w:bCs/>
              </w:rPr>
            </w:pPr>
            <w:r w:rsidRPr="001A7CB8">
              <w:rPr>
                <w:b/>
                <w:bCs/>
              </w:rPr>
              <w:t>EVSE Specification</w:t>
            </w:r>
          </w:p>
        </w:tc>
        <w:tc>
          <w:tcPr>
            <w:tcW w:w="4819" w:type="dxa"/>
          </w:tcPr>
          <w:p w14:paraId="4ABDB3E5" w14:textId="006C860A" w:rsidR="008C590B" w:rsidRDefault="00882EA6" w:rsidP="00BA7721">
            <w:pPr>
              <w:pStyle w:val="DFSITableBodyText"/>
            </w:pPr>
            <w:r w:rsidRPr="00882EA6">
              <w:t>EVSE Specification means the specifications contained or referred to in the scheme conditions - Appendix A.</w:t>
            </w:r>
          </w:p>
        </w:tc>
      </w:tr>
      <w:tr w:rsidR="008C590B" w:rsidRPr="00B40EBD" w14:paraId="26638C65" w14:textId="77777777" w:rsidTr="00BA7721">
        <w:tc>
          <w:tcPr>
            <w:tcW w:w="4819" w:type="dxa"/>
          </w:tcPr>
          <w:p w14:paraId="4260C8F6" w14:textId="595C9AD1" w:rsidR="008C590B" w:rsidRPr="00195CE0" w:rsidRDefault="00195CE0" w:rsidP="00BA7721">
            <w:pPr>
              <w:rPr>
                <w:b/>
                <w:bCs/>
              </w:rPr>
            </w:pPr>
            <w:r w:rsidRPr="00195CE0">
              <w:rPr>
                <w:b/>
                <w:bCs/>
              </w:rPr>
              <w:t>EVSE Works</w:t>
            </w:r>
          </w:p>
        </w:tc>
        <w:tc>
          <w:tcPr>
            <w:tcW w:w="4819" w:type="dxa"/>
          </w:tcPr>
          <w:p w14:paraId="160A5B76" w14:textId="5C1AD2E3" w:rsidR="008C590B" w:rsidRPr="00B40EBD" w:rsidRDefault="00195CE0" w:rsidP="00BA7721">
            <w:pPr>
              <w:pStyle w:val="DFSITableBodyText"/>
            </w:pPr>
            <w:r w:rsidRPr="00195CE0">
              <w:t>EVSE Works means the performance of works and activities (including the supply of materials) necessary for the supply, manufacture, construction, installation and commissioning of EVSE Goods (including, if required, the upgrade of the site electrical backbone) and other works that may be carried out in conjunction with the supply, manufacture, construction, installation and commissioning of EVSE Goods.</w:t>
            </w:r>
          </w:p>
        </w:tc>
      </w:tr>
      <w:tr w:rsidR="008C590B" w:rsidRPr="006C037B" w14:paraId="78D04B84" w14:textId="77777777" w:rsidTr="00BA7721">
        <w:tc>
          <w:tcPr>
            <w:tcW w:w="4819" w:type="dxa"/>
          </w:tcPr>
          <w:p w14:paraId="540DBFF4" w14:textId="63EEAEE2" w:rsidR="008C590B" w:rsidRPr="001A73B9" w:rsidRDefault="001A73B9" w:rsidP="00BA7721">
            <w:pPr>
              <w:rPr>
                <w:b/>
                <w:bCs/>
              </w:rPr>
            </w:pPr>
            <w:r w:rsidRPr="001A73B9">
              <w:rPr>
                <w:b/>
                <w:bCs/>
              </w:rPr>
              <w:lastRenderedPageBreak/>
              <w:t>Enforceable Procurement Provisions (EPP Direction)</w:t>
            </w:r>
          </w:p>
        </w:tc>
        <w:tc>
          <w:tcPr>
            <w:tcW w:w="4819" w:type="dxa"/>
          </w:tcPr>
          <w:p w14:paraId="2E89D580" w14:textId="53FE3D00" w:rsidR="008C590B" w:rsidRPr="006C037B" w:rsidRDefault="001A73B9" w:rsidP="00BA7721">
            <w:pPr>
              <w:pStyle w:val="DFSITableBodyText"/>
            </w:pPr>
            <w:r w:rsidRPr="001A73B9">
              <w:t xml:space="preserve">Enforceable Procurement Provisions (EPP Direction) means the Procurement (Enforceable Procurement Provisions) Direction 2019 under the Public Works and Procurement Act 1912 (NSW), also referred to as PBD 2019-05. </w:t>
            </w:r>
            <w:hyperlink r:id="rId44" w:history="1">
              <w:r w:rsidR="00930B17" w:rsidRPr="00AD02E4">
                <w:rPr>
                  <w:rStyle w:val="Hyperlink"/>
                  <w:rFonts w:asciiTheme="minorHAnsi" w:hAnsiTheme="minorHAnsi"/>
                  <w:sz w:val="22"/>
                  <w:szCs w:val="22"/>
                </w:rPr>
                <w:t>PBD 2019-05 Enforceable procurement provisions | buy.nsw</w:t>
              </w:r>
            </w:hyperlink>
            <w:r w:rsidR="00930B17">
              <w:rPr>
                <w:rStyle w:val="Hyperlink"/>
                <w:rFonts w:asciiTheme="minorHAnsi" w:hAnsiTheme="minorHAnsi"/>
                <w:sz w:val="22"/>
                <w:szCs w:val="22"/>
              </w:rPr>
              <w:t>.</w:t>
            </w:r>
          </w:p>
        </w:tc>
      </w:tr>
      <w:tr w:rsidR="009441DF" w:rsidRPr="006C037B" w14:paraId="20E1233E" w14:textId="77777777" w:rsidTr="00BA7721">
        <w:tc>
          <w:tcPr>
            <w:tcW w:w="4819" w:type="dxa"/>
          </w:tcPr>
          <w:p w14:paraId="03ABE298" w14:textId="64C39AFF" w:rsidR="009441DF" w:rsidRPr="007F6C43" w:rsidRDefault="007F6C43" w:rsidP="00BA7721">
            <w:pPr>
              <w:rPr>
                <w:b/>
                <w:bCs/>
              </w:rPr>
            </w:pPr>
            <w:r w:rsidRPr="007F6C43">
              <w:rPr>
                <w:b/>
                <w:bCs/>
              </w:rPr>
              <w:t>Maintenance Services</w:t>
            </w:r>
          </w:p>
        </w:tc>
        <w:tc>
          <w:tcPr>
            <w:tcW w:w="4819" w:type="dxa"/>
          </w:tcPr>
          <w:p w14:paraId="7420942B" w14:textId="3E15DC0C" w:rsidR="009441DF" w:rsidRDefault="007F6C43" w:rsidP="00BA7721">
            <w:pPr>
              <w:pStyle w:val="DFSITableBodyText"/>
            </w:pPr>
            <w:r w:rsidRPr="007F6C43">
              <w:t>Maintenance Services means the maintenance of EVSE and other works associated with the maintenance of EVSE.</w:t>
            </w:r>
          </w:p>
        </w:tc>
      </w:tr>
      <w:tr w:rsidR="009441DF" w:rsidRPr="006C037B" w14:paraId="19E897B3" w14:textId="77777777" w:rsidTr="00BA7721">
        <w:tc>
          <w:tcPr>
            <w:tcW w:w="4819" w:type="dxa"/>
          </w:tcPr>
          <w:p w14:paraId="69E1D879" w14:textId="7E8865C3" w:rsidR="009441DF" w:rsidRPr="003A4ECC" w:rsidRDefault="003A4ECC" w:rsidP="00BA7721">
            <w:pPr>
              <w:rPr>
                <w:b/>
                <w:bCs/>
              </w:rPr>
            </w:pPr>
            <w:r w:rsidRPr="003A4ECC">
              <w:rPr>
                <w:b/>
                <w:bCs/>
              </w:rPr>
              <w:t>NSW</w:t>
            </w:r>
          </w:p>
        </w:tc>
        <w:tc>
          <w:tcPr>
            <w:tcW w:w="4819" w:type="dxa"/>
          </w:tcPr>
          <w:p w14:paraId="183A9165" w14:textId="7821DC4D" w:rsidR="009441DF" w:rsidRDefault="003A4ECC" w:rsidP="00BA7721">
            <w:pPr>
              <w:pStyle w:val="DFSITableBodyText"/>
            </w:pPr>
            <w:r w:rsidRPr="003A4ECC">
              <w:t>NSW means the State of New South Wales.</w:t>
            </w:r>
          </w:p>
        </w:tc>
      </w:tr>
      <w:tr w:rsidR="009441DF" w:rsidRPr="006C037B" w14:paraId="299E942E" w14:textId="77777777" w:rsidTr="00BA7721">
        <w:tc>
          <w:tcPr>
            <w:tcW w:w="4819" w:type="dxa"/>
          </w:tcPr>
          <w:p w14:paraId="26503B00" w14:textId="7ED87B9C" w:rsidR="009441DF" w:rsidRPr="00A84008" w:rsidRDefault="00A84008" w:rsidP="00BA7721">
            <w:pPr>
              <w:rPr>
                <w:b/>
                <w:bCs/>
              </w:rPr>
            </w:pPr>
            <w:r w:rsidRPr="00A84008">
              <w:rPr>
                <w:b/>
                <w:bCs/>
              </w:rPr>
              <w:t>NSW Procurement Policy Framework</w:t>
            </w:r>
          </w:p>
        </w:tc>
        <w:tc>
          <w:tcPr>
            <w:tcW w:w="4819" w:type="dxa"/>
          </w:tcPr>
          <w:p w14:paraId="6EF434E8" w14:textId="77EA6738" w:rsidR="009441DF" w:rsidRDefault="00A84008" w:rsidP="00BA7721">
            <w:pPr>
              <w:pStyle w:val="DFSITableBodyText"/>
            </w:pPr>
            <w:r w:rsidRPr="00A84008">
              <w:t xml:space="preserve">NSW Procurement Policy Framework means the NSW Procurement Policy Framework that applies to the procurement of goods and services of any kind, including construction and which can be accessed at: </w:t>
            </w:r>
            <w:hyperlink r:id="rId45" w:history="1">
              <w:r w:rsidR="007516EF" w:rsidRPr="00C51ACB">
                <w:rPr>
                  <w:rStyle w:val="Hyperlink"/>
                  <w:rFonts w:asciiTheme="minorHAnsi" w:eastAsia="Arial Bold" w:hAnsiTheme="minorHAnsi" w:cs="Arial"/>
                  <w:bCs/>
                  <w:sz w:val="22"/>
                  <w:szCs w:val="22"/>
                  <w:lang w:eastAsia="en-AU"/>
                </w:rPr>
                <w:t>https://buy.nsw.gov.au/policy-library/policies/procurement-policy-framework</w:t>
              </w:r>
            </w:hyperlink>
            <w:r w:rsidR="007516EF" w:rsidRPr="00CA2FF3">
              <w:rPr>
                <w:rFonts w:asciiTheme="minorHAnsi" w:eastAsia="Arial Bold" w:hAnsiTheme="minorHAnsi" w:cs="Arial"/>
                <w:bCs/>
                <w:color w:val="000000"/>
                <w:sz w:val="22"/>
                <w:szCs w:val="22"/>
                <w:lang w:eastAsia="en-AU"/>
              </w:rPr>
              <w:t>.</w:t>
            </w:r>
          </w:p>
        </w:tc>
      </w:tr>
      <w:tr w:rsidR="00F84306" w:rsidRPr="006C037B" w14:paraId="5BBBF9BD" w14:textId="77777777" w:rsidTr="00BA7721">
        <w:tc>
          <w:tcPr>
            <w:tcW w:w="4819" w:type="dxa"/>
          </w:tcPr>
          <w:p w14:paraId="1159C71D" w14:textId="60B08774" w:rsidR="00F84306" w:rsidRPr="002262DF" w:rsidRDefault="002262DF" w:rsidP="00F84306">
            <w:pPr>
              <w:rPr>
                <w:b/>
                <w:bCs/>
              </w:rPr>
            </w:pPr>
            <w:r w:rsidRPr="002262DF">
              <w:rPr>
                <w:b/>
                <w:bCs/>
              </w:rPr>
              <w:t>NSW Supplier Code of Conduct</w:t>
            </w:r>
          </w:p>
        </w:tc>
        <w:tc>
          <w:tcPr>
            <w:tcW w:w="4819" w:type="dxa"/>
          </w:tcPr>
          <w:p w14:paraId="3C386D0A" w14:textId="554C09CA" w:rsidR="00F84306" w:rsidRDefault="002262DF" w:rsidP="00F84306">
            <w:pPr>
              <w:pStyle w:val="DFSITableBodyText"/>
            </w:pPr>
            <w:r w:rsidRPr="002262DF">
              <w:t xml:space="preserve">NSW Supplier Code of Conduct means the NSW Supplier Code of Conduct which applies to procurements by the NSW Government and can be accessed at: </w:t>
            </w:r>
            <w:hyperlink r:id="rId46" w:history="1">
              <w:r w:rsidR="001908AD" w:rsidRPr="00C51ACB">
                <w:rPr>
                  <w:rStyle w:val="Hyperlink"/>
                  <w:rFonts w:asciiTheme="minorHAnsi" w:eastAsia="Arial Bold" w:hAnsiTheme="minorHAnsi" w:cs="Arial"/>
                  <w:bCs/>
                  <w:sz w:val="22"/>
                  <w:szCs w:val="22"/>
                  <w:lang w:eastAsia="en-AU"/>
                </w:rPr>
                <w:t>https://buy.nsw.gov.au/policy-library/policies/supplier-code-of-conduct</w:t>
              </w:r>
            </w:hyperlink>
            <w:r w:rsidR="001908AD">
              <w:rPr>
                <w:rFonts w:asciiTheme="minorHAnsi" w:eastAsia="Arial Bold" w:hAnsiTheme="minorHAnsi" w:cs="Arial"/>
                <w:bCs/>
                <w:color w:val="000000"/>
                <w:sz w:val="22"/>
                <w:szCs w:val="22"/>
                <w:lang w:eastAsia="en-AU"/>
              </w:rPr>
              <w:t>.</w:t>
            </w:r>
          </w:p>
        </w:tc>
      </w:tr>
      <w:tr w:rsidR="00F84306" w14:paraId="4A9B9199" w14:textId="77777777" w:rsidTr="00BA7721">
        <w:tc>
          <w:tcPr>
            <w:tcW w:w="4819" w:type="dxa"/>
          </w:tcPr>
          <w:p w14:paraId="69EDF3BF" w14:textId="0990D725" w:rsidR="00F84306" w:rsidRPr="001D6C4B" w:rsidRDefault="001D6C4B" w:rsidP="00F84306">
            <w:pPr>
              <w:rPr>
                <w:b/>
                <w:bCs/>
              </w:rPr>
            </w:pPr>
            <w:r w:rsidRPr="001D6C4B">
              <w:rPr>
                <w:b/>
                <w:bCs/>
              </w:rPr>
              <w:t>Procurement List</w:t>
            </w:r>
          </w:p>
        </w:tc>
        <w:tc>
          <w:tcPr>
            <w:tcW w:w="4819" w:type="dxa"/>
          </w:tcPr>
          <w:p w14:paraId="68ACDCB2" w14:textId="1AFBD2F1" w:rsidR="00F84306" w:rsidRDefault="001D6C4B" w:rsidP="00F84306">
            <w:pPr>
              <w:pStyle w:val="DFSITableBodyText"/>
            </w:pPr>
            <w:r w:rsidRPr="001D6C4B">
              <w:t>Procurement List has the meaning given to that term in the EPP Direction.</w:t>
            </w:r>
          </w:p>
        </w:tc>
      </w:tr>
      <w:tr w:rsidR="00F84306" w:rsidRPr="00B40EBD" w14:paraId="01B44446" w14:textId="77777777" w:rsidTr="00BA7721">
        <w:tc>
          <w:tcPr>
            <w:tcW w:w="4819" w:type="dxa"/>
          </w:tcPr>
          <w:p w14:paraId="4D2D7ADD" w14:textId="01F3CD12" w:rsidR="00F84306" w:rsidRPr="00FC2559" w:rsidRDefault="00FC2559" w:rsidP="00F84306">
            <w:pPr>
              <w:rPr>
                <w:b/>
                <w:bCs/>
              </w:rPr>
            </w:pPr>
            <w:r w:rsidRPr="00FC2559">
              <w:rPr>
                <w:b/>
                <w:bCs/>
              </w:rPr>
              <w:t>Project</w:t>
            </w:r>
          </w:p>
        </w:tc>
        <w:tc>
          <w:tcPr>
            <w:tcW w:w="4819" w:type="dxa"/>
          </w:tcPr>
          <w:p w14:paraId="64CF59C8" w14:textId="1EDFAF81" w:rsidR="00F84306" w:rsidRPr="00FC2559" w:rsidRDefault="00FC2559" w:rsidP="00F84306">
            <w:pPr>
              <w:pStyle w:val="DFSITableBodyText"/>
            </w:pPr>
            <w:r w:rsidRPr="00FC2559">
              <w:t>Project means the procurement of goods and services in connection with the Scheme.</w:t>
            </w:r>
          </w:p>
        </w:tc>
      </w:tr>
      <w:tr w:rsidR="00F84306" w14:paraId="11B29DF3" w14:textId="77777777" w:rsidTr="00BA7721">
        <w:tc>
          <w:tcPr>
            <w:tcW w:w="4819" w:type="dxa"/>
          </w:tcPr>
          <w:p w14:paraId="7BABD325" w14:textId="79A83E03" w:rsidR="00F84306" w:rsidRPr="00A40938" w:rsidRDefault="00A40938" w:rsidP="00F84306">
            <w:pPr>
              <w:rPr>
                <w:b/>
                <w:bCs/>
              </w:rPr>
            </w:pPr>
            <w:r w:rsidRPr="00A40938">
              <w:rPr>
                <w:b/>
                <w:bCs/>
              </w:rPr>
              <w:t>Project Agreement</w:t>
            </w:r>
          </w:p>
        </w:tc>
        <w:tc>
          <w:tcPr>
            <w:tcW w:w="4819" w:type="dxa"/>
          </w:tcPr>
          <w:p w14:paraId="09D0289C" w14:textId="124883D2" w:rsidR="00F84306" w:rsidRDefault="00A40938" w:rsidP="00F84306">
            <w:pPr>
              <w:pStyle w:val="DFSITableBodyText"/>
            </w:pPr>
            <w:r w:rsidRPr="00A40938">
              <w:t>Project Agreement means an agreement between an Agency and an Approved Supplier in connection with the Scheme.</w:t>
            </w:r>
          </w:p>
        </w:tc>
      </w:tr>
      <w:tr w:rsidR="00A40938" w14:paraId="27042000" w14:textId="77777777" w:rsidTr="00BA7721">
        <w:tc>
          <w:tcPr>
            <w:tcW w:w="4819" w:type="dxa"/>
          </w:tcPr>
          <w:p w14:paraId="5309A206" w14:textId="1F13056C" w:rsidR="00A40938" w:rsidRPr="00B20F1F" w:rsidRDefault="00B20F1F" w:rsidP="00F84306">
            <w:pPr>
              <w:rPr>
                <w:b/>
                <w:bCs/>
              </w:rPr>
            </w:pPr>
            <w:r w:rsidRPr="00B20F1F">
              <w:rPr>
                <w:b/>
                <w:bCs/>
              </w:rPr>
              <w:t>Rates Card</w:t>
            </w:r>
          </w:p>
        </w:tc>
        <w:tc>
          <w:tcPr>
            <w:tcW w:w="4819" w:type="dxa"/>
          </w:tcPr>
          <w:p w14:paraId="33999C0B" w14:textId="3B387867" w:rsidR="00A40938" w:rsidRPr="00A40938" w:rsidRDefault="00B20F1F" w:rsidP="00F84306">
            <w:pPr>
              <w:pStyle w:val="DFSITableBodyText"/>
            </w:pPr>
            <w:r w:rsidRPr="00B20F1F">
              <w:t>Rates Card means the rates and prices referred to in section 8.5 in the scheme conditions</w:t>
            </w:r>
          </w:p>
        </w:tc>
      </w:tr>
      <w:tr w:rsidR="00A40938" w14:paraId="7EC066FA" w14:textId="77777777" w:rsidTr="00BA7721">
        <w:tc>
          <w:tcPr>
            <w:tcW w:w="4819" w:type="dxa"/>
          </w:tcPr>
          <w:p w14:paraId="7BC9C6BD" w14:textId="22957D93" w:rsidR="00A40938" w:rsidRPr="009D3F09" w:rsidRDefault="009D3F09" w:rsidP="00F84306">
            <w:pPr>
              <w:rPr>
                <w:b/>
                <w:bCs/>
              </w:rPr>
            </w:pPr>
            <w:r w:rsidRPr="009D3F09">
              <w:rPr>
                <w:b/>
                <w:bCs/>
              </w:rPr>
              <w:t>Scheme</w:t>
            </w:r>
          </w:p>
        </w:tc>
        <w:tc>
          <w:tcPr>
            <w:tcW w:w="4819" w:type="dxa"/>
          </w:tcPr>
          <w:p w14:paraId="06DA461C" w14:textId="7510FCF8" w:rsidR="00A40938" w:rsidRPr="00A40938" w:rsidRDefault="009D3F09" w:rsidP="00F84306">
            <w:pPr>
              <w:pStyle w:val="DFSITableBodyText"/>
            </w:pPr>
            <w:r w:rsidRPr="009D3F09">
              <w:t>Scheme means the prequalification scheme: Electric Vehicle Charging Infrastructure administered by the Department.</w:t>
            </w:r>
          </w:p>
        </w:tc>
      </w:tr>
      <w:tr w:rsidR="00A40938" w14:paraId="6ABABB8B" w14:textId="77777777" w:rsidTr="00BA7721">
        <w:tc>
          <w:tcPr>
            <w:tcW w:w="4819" w:type="dxa"/>
          </w:tcPr>
          <w:p w14:paraId="1E036229" w14:textId="5CCF82F4" w:rsidR="00A40938" w:rsidRPr="00250AB9" w:rsidRDefault="00250AB9" w:rsidP="00F84306">
            <w:pPr>
              <w:rPr>
                <w:b/>
                <w:bCs/>
              </w:rPr>
            </w:pPr>
            <w:r w:rsidRPr="00250AB9">
              <w:rPr>
                <w:b/>
                <w:bCs/>
              </w:rPr>
              <w:t>Scheme Conditions</w:t>
            </w:r>
          </w:p>
        </w:tc>
        <w:tc>
          <w:tcPr>
            <w:tcW w:w="4819" w:type="dxa"/>
          </w:tcPr>
          <w:p w14:paraId="02D9706D" w14:textId="1A74435A" w:rsidR="00A40938" w:rsidRPr="00A40938" w:rsidRDefault="00250AB9" w:rsidP="00F84306">
            <w:pPr>
              <w:pStyle w:val="DFSITableBodyText"/>
            </w:pPr>
            <w:r w:rsidRPr="00250AB9">
              <w:t>Scheme Conditions means the Scheme conditions contained in this document.</w:t>
            </w:r>
          </w:p>
        </w:tc>
      </w:tr>
      <w:tr w:rsidR="00A40938" w14:paraId="4F5252A0" w14:textId="77777777" w:rsidTr="00BA7721">
        <w:tc>
          <w:tcPr>
            <w:tcW w:w="4819" w:type="dxa"/>
          </w:tcPr>
          <w:p w14:paraId="2EDBA5DB" w14:textId="603CD591" w:rsidR="00A40938" w:rsidRPr="00B046E9" w:rsidRDefault="00B046E9" w:rsidP="00F84306">
            <w:pPr>
              <w:rPr>
                <w:b/>
                <w:bCs/>
              </w:rPr>
            </w:pPr>
            <w:r w:rsidRPr="00B046E9">
              <w:rPr>
                <w:b/>
                <w:bCs/>
              </w:rPr>
              <w:t>Scheme Manager</w:t>
            </w:r>
          </w:p>
        </w:tc>
        <w:tc>
          <w:tcPr>
            <w:tcW w:w="4819" w:type="dxa"/>
          </w:tcPr>
          <w:p w14:paraId="3B769581" w14:textId="24A18FF2" w:rsidR="00A40938" w:rsidRPr="00A40938" w:rsidRDefault="00B046E9" w:rsidP="00F84306">
            <w:pPr>
              <w:pStyle w:val="DFSITableBodyText"/>
            </w:pPr>
            <w:r w:rsidRPr="00B046E9">
              <w:t>Scheme Manager means the person(s) appointed by the Department from time to time to manage the Scheme.</w:t>
            </w:r>
          </w:p>
        </w:tc>
      </w:tr>
      <w:tr w:rsidR="00250AB9" w14:paraId="3D411C97" w14:textId="77777777" w:rsidTr="00BA7721">
        <w:tc>
          <w:tcPr>
            <w:tcW w:w="4819" w:type="dxa"/>
          </w:tcPr>
          <w:p w14:paraId="7FD4E6D3" w14:textId="03F1B1E6" w:rsidR="00250AB9" w:rsidRPr="00FF68FA" w:rsidRDefault="00FF68FA" w:rsidP="00F84306">
            <w:pPr>
              <w:rPr>
                <w:b/>
                <w:bCs/>
              </w:rPr>
            </w:pPr>
            <w:r w:rsidRPr="00FF68FA">
              <w:rPr>
                <w:b/>
                <w:bCs/>
              </w:rPr>
              <w:t>Scheme Procurement List</w:t>
            </w:r>
          </w:p>
        </w:tc>
        <w:tc>
          <w:tcPr>
            <w:tcW w:w="4819" w:type="dxa"/>
          </w:tcPr>
          <w:p w14:paraId="25A81BD9" w14:textId="72649F3F" w:rsidR="00250AB9" w:rsidRPr="00A40938" w:rsidRDefault="00FF68FA" w:rsidP="00F84306">
            <w:pPr>
              <w:pStyle w:val="DFSITableBodyText"/>
            </w:pPr>
            <w:r w:rsidRPr="00FF68FA">
              <w:t>Scheme Procurement List means the list of the suppliers that have been accepted as Approved Suppliers in accordance the Scheme to be used by Agencies under the Scheme.</w:t>
            </w:r>
          </w:p>
        </w:tc>
      </w:tr>
      <w:tr w:rsidR="00250AB9" w14:paraId="2C11F692" w14:textId="77777777" w:rsidTr="00BA7721">
        <w:tc>
          <w:tcPr>
            <w:tcW w:w="4819" w:type="dxa"/>
          </w:tcPr>
          <w:p w14:paraId="38EE11BB" w14:textId="6136F29C" w:rsidR="00250AB9" w:rsidRPr="00396F98" w:rsidRDefault="00396F98" w:rsidP="00F84306">
            <w:pPr>
              <w:rPr>
                <w:b/>
                <w:bCs/>
              </w:rPr>
            </w:pPr>
            <w:r w:rsidRPr="00396F98">
              <w:rPr>
                <w:b/>
                <w:bCs/>
              </w:rPr>
              <w:t>Selected Subcontract Work</w:t>
            </w:r>
          </w:p>
        </w:tc>
        <w:tc>
          <w:tcPr>
            <w:tcW w:w="4819" w:type="dxa"/>
          </w:tcPr>
          <w:p w14:paraId="202AFBFE" w14:textId="22B3B1C3" w:rsidR="00250AB9" w:rsidRPr="00A40938" w:rsidRDefault="00613244" w:rsidP="00F84306">
            <w:pPr>
              <w:pStyle w:val="DFSITableBodyText"/>
            </w:pPr>
            <w:r w:rsidRPr="00613244">
              <w:t>Selected Subcontract Work has the meaning given to the term in the Standard Form Agreement</w:t>
            </w:r>
          </w:p>
        </w:tc>
      </w:tr>
      <w:tr w:rsidR="00FF68FA" w14:paraId="15ADA358" w14:textId="77777777" w:rsidTr="00BA7721">
        <w:tc>
          <w:tcPr>
            <w:tcW w:w="4819" w:type="dxa"/>
          </w:tcPr>
          <w:p w14:paraId="439FA0C5" w14:textId="2BDEC0CD" w:rsidR="00FF68FA" w:rsidRPr="0097504C" w:rsidRDefault="0097504C" w:rsidP="00F84306">
            <w:pPr>
              <w:rPr>
                <w:b/>
                <w:bCs/>
              </w:rPr>
            </w:pPr>
            <w:r w:rsidRPr="0097504C">
              <w:rPr>
                <w:b/>
                <w:bCs/>
              </w:rPr>
              <w:t>Selected Subcontractor</w:t>
            </w:r>
          </w:p>
        </w:tc>
        <w:tc>
          <w:tcPr>
            <w:tcW w:w="4819" w:type="dxa"/>
          </w:tcPr>
          <w:p w14:paraId="5DE78386" w14:textId="3D7C83FF" w:rsidR="00FF68FA" w:rsidRPr="00A40938" w:rsidRDefault="0097504C" w:rsidP="00F84306">
            <w:pPr>
              <w:pStyle w:val="DFSITableBodyText"/>
            </w:pPr>
            <w:r w:rsidRPr="0097504C">
              <w:t>Selected Subcontractor has the meaning given to the term in the Standard Form Agreement.</w:t>
            </w:r>
          </w:p>
        </w:tc>
      </w:tr>
      <w:tr w:rsidR="0097504C" w14:paraId="7C7BC23F" w14:textId="77777777" w:rsidTr="00BA7721">
        <w:tc>
          <w:tcPr>
            <w:tcW w:w="4819" w:type="dxa"/>
          </w:tcPr>
          <w:p w14:paraId="21B538CE" w14:textId="79DFF3A4" w:rsidR="0097504C" w:rsidRPr="00882309" w:rsidRDefault="00882309" w:rsidP="00F84306">
            <w:pPr>
              <w:rPr>
                <w:b/>
                <w:bCs/>
              </w:rPr>
            </w:pPr>
            <w:r w:rsidRPr="00882309">
              <w:rPr>
                <w:b/>
                <w:bCs/>
              </w:rPr>
              <w:t>Standard Form Agreement</w:t>
            </w:r>
          </w:p>
        </w:tc>
        <w:tc>
          <w:tcPr>
            <w:tcW w:w="4819" w:type="dxa"/>
          </w:tcPr>
          <w:p w14:paraId="4050F2B4" w14:textId="362BB885" w:rsidR="0097504C" w:rsidRPr="00A40938" w:rsidRDefault="00882309" w:rsidP="00F84306">
            <w:pPr>
              <w:pStyle w:val="DFSITableBodyText"/>
            </w:pPr>
            <w:r w:rsidRPr="00882309">
              <w:t>Standard Form Agreement means the conditions contained in Schedule 2</w:t>
            </w:r>
            <w:r>
              <w:t xml:space="preserve"> of the scheme conditions</w:t>
            </w:r>
            <w:r w:rsidRPr="00882309">
              <w:t>.</w:t>
            </w:r>
          </w:p>
        </w:tc>
      </w:tr>
    </w:tbl>
    <w:p w14:paraId="77666F81" w14:textId="77777777" w:rsidR="008C590B" w:rsidRPr="008C590B" w:rsidRDefault="008C590B" w:rsidP="00D5474C"/>
    <w:sectPr w:rsidR="008C590B" w:rsidRPr="008C590B" w:rsidSect="00A87E93">
      <w:headerReference w:type="default" r:id="rId47"/>
      <w:footerReference w:type="default" r:id="rId48"/>
      <w:headerReference w:type="first" r:id="rId49"/>
      <w:footerReference w:type="first" r:id="rId50"/>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DB27" w14:textId="77777777" w:rsidR="00197915" w:rsidRDefault="00197915" w:rsidP="00870475">
      <w:pPr>
        <w:spacing w:after="0" w:line="240" w:lineRule="auto"/>
      </w:pPr>
      <w:r>
        <w:separator/>
      </w:r>
    </w:p>
  </w:endnote>
  <w:endnote w:type="continuationSeparator" w:id="0">
    <w:p w14:paraId="066F9722" w14:textId="77777777" w:rsidR="00197915" w:rsidRDefault="00197915" w:rsidP="00870475">
      <w:pPr>
        <w:spacing w:after="0" w:line="240" w:lineRule="auto"/>
      </w:pPr>
      <w:r>
        <w:continuationSeparator/>
      </w:r>
    </w:p>
  </w:endnote>
  <w:endnote w:type="continuationNotice" w:id="1">
    <w:p w14:paraId="306A6755" w14:textId="77777777" w:rsidR="00197915" w:rsidRDefault="001979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7" w14:textId="77777777" w:rsidR="00BA7721" w:rsidRDefault="00BA7721" w:rsidP="00A360A3">
    <w:pPr>
      <w:shd w:val="clear" w:color="auto" w:fill="033F5D"/>
      <w:jc w:val="right"/>
    </w:pPr>
  </w:p>
  <w:p w14:paraId="2824E318" w14:textId="77777777" w:rsidR="00BA7721" w:rsidRPr="00F46648" w:rsidRDefault="00BA7721"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2824E319" w14:textId="77777777" w:rsidR="00BA7721" w:rsidRDefault="00BA7721" w:rsidP="00A360A3">
    <w:pPr>
      <w:shd w:val="clear" w:color="auto" w:fill="033F5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084" w14:textId="09E649F0" w:rsidR="00BA7721" w:rsidRPr="002B7DA4" w:rsidRDefault="00C54D0C" w:rsidP="002B7DA4">
    <w:pPr>
      <w:pStyle w:val="Footer"/>
    </w:pPr>
    <w:r>
      <w:t>NSW Procurement</w:t>
    </w:r>
    <w:r w:rsidR="00D4140D" w:rsidRPr="002B7DA4">
      <w:t xml:space="preserve"> </w:t>
    </w:r>
    <w:r w:rsidR="00BA7721" w:rsidRPr="002B7DA4">
      <w:t xml:space="preserve">| </w:t>
    </w:r>
    <w:r w:rsidR="00BA7721" w:rsidRPr="002B7DA4">
      <w:fldChar w:fldCharType="begin"/>
    </w:r>
    <w:r w:rsidR="00BA7721" w:rsidRPr="002B7DA4">
      <w:instrText xml:space="preserve"> PAGE   \* MERGEFORMAT </w:instrText>
    </w:r>
    <w:r w:rsidR="00BA7721" w:rsidRPr="002B7DA4">
      <w:fldChar w:fldCharType="separate"/>
    </w:r>
    <w:r w:rsidR="00BA7721">
      <w:rPr>
        <w:noProof/>
      </w:rPr>
      <w:t>2</w:t>
    </w:r>
    <w:r w:rsidR="00BA7721" w:rsidRPr="002B7D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A00" w14:textId="0EDE9350" w:rsidR="00BA7721" w:rsidRPr="006F0894" w:rsidRDefault="00BA7721"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F" w14:textId="4C2DFA49" w:rsidR="00BA7721" w:rsidRPr="002B7DA4" w:rsidRDefault="00D631DA" w:rsidP="002B7DA4">
    <w:pPr>
      <w:pStyle w:val="Footer"/>
    </w:pPr>
    <w:r>
      <w:t>NSW Procurement</w:t>
    </w:r>
    <w:r w:rsidR="00BA7721" w:rsidRPr="002B7DA4">
      <w:t xml:space="preserve"> | </w:t>
    </w:r>
    <w:r w:rsidR="00BA7721" w:rsidRPr="002B7DA4">
      <w:fldChar w:fldCharType="begin"/>
    </w:r>
    <w:r w:rsidR="00BA7721" w:rsidRPr="002B7DA4">
      <w:instrText xml:space="preserve"> PAGE   \* MERGEFORMAT </w:instrText>
    </w:r>
    <w:r w:rsidR="00BA7721" w:rsidRPr="002B7DA4">
      <w:fldChar w:fldCharType="separate"/>
    </w:r>
    <w:r w:rsidR="00BA7721">
      <w:rPr>
        <w:noProof/>
      </w:rPr>
      <w:t>2</w:t>
    </w:r>
    <w:r w:rsidR="00BA7721" w:rsidRPr="002B7DA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21" w14:textId="49F1000B" w:rsidR="00BA7721" w:rsidRPr="006F0894" w:rsidRDefault="00BA7721"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E920" w14:textId="77777777" w:rsidR="00197915" w:rsidRDefault="00197915" w:rsidP="00870475">
      <w:pPr>
        <w:spacing w:after="0" w:line="240" w:lineRule="auto"/>
      </w:pPr>
      <w:r>
        <w:separator/>
      </w:r>
    </w:p>
  </w:footnote>
  <w:footnote w:type="continuationSeparator" w:id="0">
    <w:p w14:paraId="3295DEE4" w14:textId="77777777" w:rsidR="00197915" w:rsidRDefault="00197915" w:rsidP="00870475">
      <w:pPr>
        <w:spacing w:after="0" w:line="240" w:lineRule="auto"/>
      </w:pPr>
      <w:r>
        <w:continuationSeparator/>
      </w:r>
    </w:p>
  </w:footnote>
  <w:footnote w:type="continuationNotice" w:id="1">
    <w:p w14:paraId="70146574" w14:textId="77777777" w:rsidR="00197915" w:rsidRDefault="001979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1964" w14:textId="07DB59D2" w:rsidR="00BA7721" w:rsidRPr="002B7DA4" w:rsidRDefault="00807A31" w:rsidP="002B7DA4">
    <w:pPr>
      <w:pStyle w:val="Header"/>
    </w:pPr>
    <w:sdt>
      <w:sdtPr>
        <w:alias w:val="Document Title"/>
        <w:tag w:val="Document Title"/>
        <w:id w:val="1942567807"/>
        <w:dataBinding w:xpath="/root[1]/DocTitle[1]" w:storeItemID="{180FEE2B-92DD-4DDF-8CD2-B2B446081537}"/>
        <w:text/>
      </w:sdtPr>
      <w:sdtEndPr/>
      <w:sdtContent>
        <w:r w:rsidR="00447128">
          <w:t>SCM13381 Agency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536" w14:textId="77777777" w:rsidR="00BA7721" w:rsidRDefault="00BA7721" w:rsidP="002B7DA4">
    <w:pPr>
      <w:pStyle w:val="Header"/>
    </w:pPr>
    <w:r>
      <w:t>Enter 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E" w14:textId="0D547C0F" w:rsidR="00BA7721" w:rsidRPr="002B7DA4" w:rsidRDefault="00807A31" w:rsidP="002B7DA4">
    <w:pPr>
      <w:pStyle w:val="Header"/>
    </w:pPr>
    <w:sdt>
      <w:sdtPr>
        <w:alias w:val="Document Title"/>
        <w:tag w:val="Document Title"/>
        <w:id w:val="16059501"/>
        <w:dataBinding w:xpath="/root[1]/DocTitle[1]" w:storeItemID="{180FEE2B-92DD-4DDF-8CD2-B2B446081537}"/>
        <w:text/>
      </w:sdtPr>
      <w:sdtEndPr/>
      <w:sdtContent>
        <w:r w:rsidR="00447128">
          <w:t>SCM13381 Agency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20" w14:textId="77777777" w:rsidR="00BA7721" w:rsidRDefault="00BA7721"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50"/>
    <w:multiLevelType w:val="hybridMultilevel"/>
    <w:tmpl w:val="C83C4D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E399B"/>
    <w:multiLevelType w:val="hybridMultilevel"/>
    <w:tmpl w:val="87322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838D7"/>
    <w:multiLevelType w:val="hybridMultilevel"/>
    <w:tmpl w:val="0C1AB1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54173"/>
    <w:multiLevelType w:val="hybridMultilevel"/>
    <w:tmpl w:val="24DA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843AB"/>
    <w:multiLevelType w:val="hybridMultilevel"/>
    <w:tmpl w:val="8E6090F2"/>
    <w:lvl w:ilvl="0" w:tplc="0C090001">
      <w:start w:val="1"/>
      <w:numFmt w:val="bullet"/>
      <w:lvlText w:val=""/>
      <w:lvlJc w:val="left"/>
      <w:pPr>
        <w:tabs>
          <w:tab w:val="num" w:pos="2154"/>
        </w:tabs>
        <w:ind w:left="2154" w:hanging="357"/>
      </w:pPr>
      <w:rPr>
        <w:rFonts w:ascii="Symbol" w:hAnsi="Symbol" w:hint="default"/>
        <w:color w:val="2C2B2B" w:themeColor="text1"/>
        <w:sz w:val="22"/>
        <w:szCs w:val="22"/>
      </w:rPr>
    </w:lvl>
    <w:lvl w:ilvl="1" w:tplc="FFFFFFFF">
      <w:start w:val="1"/>
      <w:numFmt w:val="lowerLetter"/>
      <w:lvlText w:val="%2."/>
      <w:lvlJc w:val="left"/>
      <w:pPr>
        <w:ind w:left="3237" w:hanging="360"/>
      </w:pPr>
    </w:lvl>
    <w:lvl w:ilvl="2" w:tplc="FFFFFFFF" w:tentative="1">
      <w:start w:val="1"/>
      <w:numFmt w:val="lowerRoman"/>
      <w:lvlText w:val="%3."/>
      <w:lvlJc w:val="right"/>
      <w:pPr>
        <w:ind w:left="3957" w:hanging="180"/>
      </w:pPr>
    </w:lvl>
    <w:lvl w:ilvl="3" w:tplc="FFFFFFFF" w:tentative="1">
      <w:start w:val="1"/>
      <w:numFmt w:val="decimal"/>
      <w:lvlText w:val="%4."/>
      <w:lvlJc w:val="left"/>
      <w:pPr>
        <w:ind w:left="4677" w:hanging="360"/>
      </w:pPr>
    </w:lvl>
    <w:lvl w:ilvl="4" w:tplc="FFFFFFFF" w:tentative="1">
      <w:start w:val="1"/>
      <w:numFmt w:val="lowerLetter"/>
      <w:lvlText w:val="%5."/>
      <w:lvlJc w:val="left"/>
      <w:pPr>
        <w:ind w:left="5397" w:hanging="360"/>
      </w:pPr>
    </w:lvl>
    <w:lvl w:ilvl="5" w:tplc="FFFFFFFF" w:tentative="1">
      <w:start w:val="1"/>
      <w:numFmt w:val="lowerRoman"/>
      <w:lvlText w:val="%6."/>
      <w:lvlJc w:val="right"/>
      <w:pPr>
        <w:ind w:left="6117" w:hanging="180"/>
      </w:pPr>
    </w:lvl>
    <w:lvl w:ilvl="6" w:tplc="FFFFFFFF" w:tentative="1">
      <w:start w:val="1"/>
      <w:numFmt w:val="decimal"/>
      <w:lvlText w:val="%7."/>
      <w:lvlJc w:val="left"/>
      <w:pPr>
        <w:ind w:left="6837" w:hanging="360"/>
      </w:pPr>
    </w:lvl>
    <w:lvl w:ilvl="7" w:tplc="FFFFFFFF" w:tentative="1">
      <w:start w:val="1"/>
      <w:numFmt w:val="lowerLetter"/>
      <w:lvlText w:val="%8."/>
      <w:lvlJc w:val="left"/>
      <w:pPr>
        <w:ind w:left="7557" w:hanging="360"/>
      </w:pPr>
    </w:lvl>
    <w:lvl w:ilvl="8" w:tplc="FFFFFFFF" w:tentative="1">
      <w:start w:val="1"/>
      <w:numFmt w:val="lowerRoman"/>
      <w:lvlText w:val="%9."/>
      <w:lvlJc w:val="right"/>
      <w:pPr>
        <w:ind w:left="8277" w:hanging="180"/>
      </w:pPr>
    </w:lvl>
  </w:abstractNum>
  <w:abstractNum w:abstractNumId="5" w15:restartNumberingAfterBreak="0">
    <w:nsid w:val="0DC02580"/>
    <w:multiLevelType w:val="hybridMultilevel"/>
    <w:tmpl w:val="A302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92BC6"/>
    <w:multiLevelType w:val="hybridMultilevel"/>
    <w:tmpl w:val="2BB08074"/>
    <w:lvl w:ilvl="0" w:tplc="0C090001">
      <w:start w:val="1"/>
      <w:numFmt w:val="bullet"/>
      <w:pStyle w:val="Bulletpoints"/>
      <w:lvlText w:val=""/>
      <w:lvlJc w:val="left"/>
      <w:pPr>
        <w:ind w:left="720" w:hanging="360"/>
      </w:pPr>
      <w:rPr>
        <w:rFonts w:ascii="Symbol" w:hAnsi="Symbol" w:hint="default"/>
      </w:rPr>
    </w:lvl>
    <w:lvl w:ilvl="1" w:tplc="0C090003" w:tentative="1">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D408B"/>
    <w:multiLevelType w:val="hybridMultilevel"/>
    <w:tmpl w:val="9C16A0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E08C3"/>
    <w:multiLevelType w:val="hybridMultilevel"/>
    <w:tmpl w:val="96D2A3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CA03AD"/>
    <w:multiLevelType w:val="hybridMultilevel"/>
    <w:tmpl w:val="C83C4D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43977"/>
    <w:multiLevelType w:val="hybridMultilevel"/>
    <w:tmpl w:val="A9B07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AE6A03"/>
    <w:multiLevelType w:val="hybridMultilevel"/>
    <w:tmpl w:val="64523A3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D53A47"/>
    <w:multiLevelType w:val="hybridMultilevel"/>
    <w:tmpl w:val="C82A7AD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F40D77"/>
    <w:multiLevelType w:val="hybridMultilevel"/>
    <w:tmpl w:val="9212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1B2A05"/>
    <w:multiLevelType w:val="hybridMultilevel"/>
    <w:tmpl w:val="DF64A4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A6265"/>
    <w:multiLevelType w:val="hybridMultilevel"/>
    <w:tmpl w:val="23B8D7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883798"/>
    <w:multiLevelType w:val="hybridMultilevel"/>
    <w:tmpl w:val="27AAE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8F2C40"/>
    <w:multiLevelType w:val="hybridMultilevel"/>
    <w:tmpl w:val="9348D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390941"/>
    <w:multiLevelType w:val="hybridMultilevel"/>
    <w:tmpl w:val="7818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560C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FB06C2"/>
    <w:multiLevelType w:val="hybridMultilevel"/>
    <w:tmpl w:val="1E74AB1E"/>
    <w:lvl w:ilvl="0" w:tplc="FFFFFFFF">
      <w:start w:val="1"/>
      <w:numFmt w:val="lowerLetter"/>
      <w:lvlText w:val="%1."/>
      <w:lvlJc w:val="left"/>
      <w:pPr>
        <w:tabs>
          <w:tab w:val="num" w:pos="1077"/>
        </w:tabs>
        <w:ind w:left="1077" w:hanging="357"/>
      </w:pPr>
      <w:rPr>
        <w:rFonts w:hint="default"/>
        <w:color w:val="2C2B2B" w:themeColor="text1"/>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1C459B3"/>
    <w:multiLevelType w:val="hybridMultilevel"/>
    <w:tmpl w:val="6910E3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A057C2"/>
    <w:multiLevelType w:val="hybridMultilevel"/>
    <w:tmpl w:val="87322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364C3B"/>
    <w:multiLevelType w:val="hybridMultilevel"/>
    <w:tmpl w:val="74FC8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E453EB"/>
    <w:multiLevelType w:val="hybridMultilevel"/>
    <w:tmpl w:val="3B5241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1405C7"/>
    <w:multiLevelType w:val="hybridMultilevel"/>
    <w:tmpl w:val="B33216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B161C3"/>
    <w:multiLevelType w:val="hybridMultilevel"/>
    <w:tmpl w:val="89028A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416247"/>
    <w:multiLevelType w:val="hybridMultilevel"/>
    <w:tmpl w:val="1E74AB1E"/>
    <w:lvl w:ilvl="0" w:tplc="AC1E9E24">
      <w:start w:val="1"/>
      <w:numFmt w:val="lowerLetter"/>
      <w:pStyle w:val="ClauseHeading"/>
      <w:lvlText w:val="%1."/>
      <w:lvlJc w:val="left"/>
      <w:pPr>
        <w:tabs>
          <w:tab w:val="num" w:pos="2154"/>
        </w:tabs>
        <w:ind w:left="2154" w:hanging="357"/>
      </w:pPr>
      <w:rPr>
        <w:rFonts w:hint="default"/>
        <w:color w:val="2C2B2B" w:themeColor="text1"/>
        <w:sz w:val="22"/>
        <w:szCs w:val="22"/>
      </w:rPr>
    </w:lvl>
    <w:lvl w:ilvl="1" w:tplc="FFFFFFFF">
      <w:start w:val="1"/>
      <w:numFmt w:val="lowerLetter"/>
      <w:pStyle w:val="Clausenumber"/>
      <w:lvlText w:val="%2."/>
      <w:lvlJc w:val="left"/>
      <w:pPr>
        <w:ind w:left="3237" w:hanging="360"/>
      </w:pPr>
    </w:lvl>
    <w:lvl w:ilvl="2" w:tplc="FFFFFFFF" w:tentative="1">
      <w:start w:val="1"/>
      <w:numFmt w:val="lowerRoman"/>
      <w:lvlText w:val="%3."/>
      <w:lvlJc w:val="right"/>
      <w:pPr>
        <w:ind w:left="3957" w:hanging="180"/>
      </w:pPr>
    </w:lvl>
    <w:lvl w:ilvl="3" w:tplc="FFFFFFFF" w:tentative="1">
      <w:start w:val="1"/>
      <w:numFmt w:val="decimal"/>
      <w:lvlText w:val="%4."/>
      <w:lvlJc w:val="left"/>
      <w:pPr>
        <w:ind w:left="4677" w:hanging="360"/>
      </w:pPr>
    </w:lvl>
    <w:lvl w:ilvl="4" w:tplc="FFFFFFFF" w:tentative="1">
      <w:start w:val="1"/>
      <w:numFmt w:val="lowerLetter"/>
      <w:lvlText w:val="%5."/>
      <w:lvlJc w:val="left"/>
      <w:pPr>
        <w:ind w:left="5397" w:hanging="360"/>
      </w:pPr>
    </w:lvl>
    <w:lvl w:ilvl="5" w:tplc="FFFFFFFF" w:tentative="1">
      <w:start w:val="1"/>
      <w:numFmt w:val="lowerRoman"/>
      <w:lvlText w:val="%6."/>
      <w:lvlJc w:val="right"/>
      <w:pPr>
        <w:ind w:left="6117" w:hanging="180"/>
      </w:pPr>
    </w:lvl>
    <w:lvl w:ilvl="6" w:tplc="FFFFFFFF" w:tentative="1">
      <w:start w:val="1"/>
      <w:numFmt w:val="decimal"/>
      <w:lvlText w:val="%7."/>
      <w:lvlJc w:val="left"/>
      <w:pPr>
        <w:ind w:left="6837" w:hanging="360"/>
      </w:pPr>
    </w:lvl>
    <w:lvl w:ilvl="7" w:tplc="FFFFFFFF" w:tentative="1">
      <w:start w:val="1"/>
      <w:numFmt w:val="lowerLetter"/>
      <w:lvlText w:val="%8."/>
      <w:lvlJc w:val="left"/>
      <w:pPr>
        <w:ind w:left="7557" w:hanging="360"/>
      </w:pPr>
    </w:lvl>
    <w:lvl w:ilvl="8" w:tplc="FFFFFFFF" w:tentative="1">
      <w:start w:val="1"/>
      <w:numFmt w:val="lowerRoman"/>
      <w:lvlText w:val="%9."/>
      <w:lvlJc w:val="right"/>
      <w:pPr>
        <w:ind w:left="8277" w:hanging="180"/>
      </w:pPr>
    </w:lvl>
  </w:abstractNum>
  <w:abstractNum w:abstractNumId="28" w15:restartNumberingAfterBreak="0">
    <w:nsid w:val="3BDF29A4"/>
    <w:multiLevelType w:val="hybridMultilevel"/>
    <w:tmpl w:val="87322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AF5B85"/>
    <w:multiLevelType w:val="hybridMultilevel"/>
    <w:tmpl w:val="97A06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412C41"/>
    <w:multiLevelType w:val="hybridMultilevel"/>
    <w:tmpl w:val="DFB4806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4F12563"/>
    <w:multiLevelType w:val="hybridMultilevel"/>
    <w:tmpl w:val="D0CC9A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45231476"/>
    <w:multiLevelType w:val="hybridMultilevel"/>
    <w:tmpl w:val="29A2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4866EF"/>
    <w:multiLevelType w:val="hybridMultilevel"/>
    <w:tmpl w:val="68B6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9E5C19"/>
    <w:multiLevelType w:val="hybridMultilevel"/>
    <w:tmpl w:val="CCC2C5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F17C49"/>
    <w:multiLevelType w:val="hybridMultilevel"/>
    <w:tmpl w:val="9A5080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1612E7"/>
    <w:multiLevelType w:val="hybridMultilevel"/>
    <w:tmpl w:val="BD56FE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85086F"/>
    <w:multiLevelType w:val="hybridMultilevel"/>
    <w:tmpl w:val="7C5A26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FF344A"/>
    <w:multiLevelType w:val="hybridMultilevel"/>
    <w:tmpl w:val="91F84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3AE79B5"/>
    <w:multiLevelType w:val="hybridMultilevel"/>
    <w:tmpl w:val="23F6EB12"/>
    <w:lvl w:ilvl="0" w:tplc="F3D00BA6">
      <w:start w:val="1"/>
      <w:numFmt w:val="bullet"/>
      <w:pStyle w:val="ListParagraph"/>
      <w:lvlText w:val="—"/>
      <w:lvlJc w:val="left"/>
      <w:pPr>
        <w:tabs>
          <w:tab w:val="num" w:pos="714"/>
        </w:tabs>
        <w:ind w:left="714" w:hanging="357"/>
      </w:pPr>
      <w:rPr>
        <w:rFonts w:ascii="Public Sans Light" w:hAnsi="Public Sans Light" w:cs="Times New Roman" w:hint="default"/>
        <w:b w:val="0"/>
        <w:i w:val="0"/>
        <w:color w:val="2C2B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3F520FF"/>
    <w:multiLevelType w:val="hybridMultilevel"/>
    <w:tmpl w:val="FE06C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EB7017"/>
    <w:multiLevelType w:val="hybridMultilevel"/>
    <w:tmpl w:val="87322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6536D2B"/>
    <w:multiLevelType w:val="hybridMultilevel"/>
    <w:tmpl w:val="B762A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BDC594E"/>
    <w:multiLevelType w:val="hybridMultilevel"/>
    <w:tmpl w:val="5C0C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3419A6"/>
    <w:multiLevelType w:val="hybridMultilevel"/>
    <w:tmpl w:val="0B120A06"/>
    <w:lvl w:ilvl="0" w:tplc="0C090001">
      <w:start w:val="1"/>
      <w:numFmt w:val="bullet"/>
      <w:lvlText w:val=""/>
      <w:lvlJc w:val="left"/>
      <w:pPr>
        <w:ind w:left="720" w:hanging="360"/>
      </w:pPr>
      <w:rPr>
        <w:rFonts w:ascii="Symbol" w:hAnsi="Symbol" w:hint="default"/>
      </w:rPr>
    </w:lvl>
    <w:lvl w:ilvl="1" w:tplc="0C090003" w:tentative="1">
      <w:start w:val="1"/>
      <w:numFmt w:val="bullet"/>
      <w:pStyle w:val="DFSI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545C7D"/>
    <w:multiLevelType w:val="hybridMultilevel"/>
    <w:tmpl w:val="E4563D7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0561807"/>
    <w:multiLevelType w:val="multilevel"/>
    <w:tmpl w:val="06F2D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DCC7321"/>
    <w:multiLevelType w:val="hybridMultilevel"/>
    <w:tmpl w:val="B5E2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520491"/>
    <w:multiLevelType w:val="hybridMultilevel"/>
    <w:tmpl w:val="D518A6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CA3AFD"/>
    <w:multiLevelType w:val="multilevel"/>
    <w:tmpl w:val="5852AA6C"/>
    <w:lvl w:ilvl="0">
      <w:start w:val="5"/>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411554"/>
    <w:multiLevelType w:val="hybridMultilevel"/>
    <w:tmpl w:val="6910E3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B03015A"/>
    <w:multiLevelType w:val="hybridMultilevel"/>
    <w:tmpl w:val="0C1AB1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B21004D"/>
    <w:multiLevelType w:val="hybridMultilevel"/>
    <w:tmpl w:val="BE4AA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F362A4"/>
    <w:multiLevelType w:val="hybridMultilevel"/>
    <w:tmpl w:val="D3EC97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7745622">
    <w:abstractNumId w:val="39"/>
  </w:num>
  <w:num w:numId="2" w16cid:durableId="2095776994">
    <w:abstractNumId w:val="19"/>
  </w:num>
  <w:num w:numId="3" w16cid:durableId="1182160332">
    <w:abstractNumId w:val="27"/>
  </w:num>
  <w:num w:numId="4" w16cid:durableId="2103909021">
    <w:abstractNumId w:val="27"/>
    <w:lvlOverride w:ilvl="0">
      <w:startOverride w:val="1"/>
    </w:lvlOverride>
  </w:num>
  <w:num w:numId="5" w16cid:durableId="540484607">
    <w:abstractNumId w:val="27"/>
    <w:lvlOverride w:ilvl="0">
      <w:startOverride w:val="1"/>
    </w:lvlOverride>
  </w:num>
  <w:num w:numId="6" w16cid:durableId="281888445">
    <w:abstractNumId w:val="52"/>
  </w:num>
  <w:num w:numId="7" w16cid:durableId="2139763276">
    <w:abstractNumId w:val="29"/>
  </w:num>
  <w:num w:numId="8" w16cid:durableId="283003857">
    <w:abstractNumId w:val="44"/>
  </w:num>
  <w:num w:numId="9" w16cid:durableId="1078088914">
    <w:abstractNumId w:val="6"/>
  </w:num>
  <w:num w:numId="10" w16cid:durableId="1811751708">
    <w:abstractNumId w:val="43"/>
  </w:num>
  <w:num w:numId="11" w16cid:durableId="480081467">
    <w:abstractNumId w:val="3"/>
  </w:num>
  <w:num w:numId="12" w16cid:durableId="1763604310">
    <w:abstractNumId w:val="0"/>
  </w:num>
  <w:num w:numId="13" w16cid:durableId="1271743498">
    <w:abstractNumId w:val="20"/>
  </w:num>
  <w:num w:numId="14" w16cid:durableId="1234466661">
    <w:abstractNumId w:val="2"/>
  </w:num>
  <w:num w:numId="15" w16cid:durableId="87238822">
    <w:abstractNumId w:val="4"/>
  </w:num>
  <w:num w:numId="16" w16cid:durableId="1067846280">
    <w:abstractNumId w:val="46"/>
  </w:num>
  <w:num w:numId="17" w16cid:durableId="1738286677">
    <w:abstractNumId w:val="45"/>
  </w:num>
  <w:num w:numId="18" w16cid:durableId="1553536479">
    <w:abstractNumId w:val="32"/>
  </w:num>
  <w:num w:numId="19" w16cid:durableId="1973947775">
    <w:abstractNumId w:val="40"/>
  </w:num>
  <w:num w:numId="20" w16cid:durableId="527984032">
    <w:abstractNumId w:val="14"/>
  </w:num>
  <w:num w:numId="21" w16cid:durableId="906184997">
    <w:abstractNumId w:val="38"/>
  </w:num>
  <w:num w:numId="22" w16cid:durableId="1982029274">
    <w:abstractNumId w:val="16"/>
  </w:num>
  <w:num w:numId="23" w16cid:durableId="640887536">
    <w:abstractNumId w:val="23"/>
  </w:num>
  <w:num w:numId="24" w16cid:durableId="1590238971">
    <w:abstractNumId w:val="30"/>
  </w:num>
  <w:num w:numId="25" w16cid:durableId="1368143496">
    <w:abstractNumId w:val="53"/>
  </w:num>
  <w:num w:numId="26" w16cid:durableId="439839512">
    <w:abstractNumId w:val="7"/>
  </w:num>
  <w:num w:numId="27" w16cid:durableId="1749841187">
    <w:abstractNumId w:val="41"/>
  </w:num>
  <w:num w:numId="28" w16cid:durableId="689798005">
    <w:abstractNumId w:val="22"/>
  </w:num>
  <w:num w:numId="29" w16cid:durableId="1284917789">
    <w:abstractNumId w:val="28"/>
  </w:num>
  <w:num w:numId="30" w16cid:durableId="1753502881">
    <w:abstractNumId w:val="1"/>
  </w:num>
  <w:num w:numId="31" w16cid:durableId="5964094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szA0NDUyMbGwNDRW0lEKTi0uzszPAykwqgUA4+OODCwAAAA="/>
  </w:docVars>
  <w:rsids>
    <w:rsidRoot w:val="005A0111"/>
    <w:rsid w:val="0000282E"/>
    <w:rsid w:val="00002E1F"/>
    <w:rsid w:val="000042D9"/>
    <w:rsid w:val="000042DB"/>
    <w:rsid w:val="00007BD9"/>
    <w:rsid w:val="00007D07"/>
    <w:rsid w:val="00007DA6"/>
    <w:rsid w:val="00010777"/>
    <w:rsid w:val="00012428"/>
    <w:rsid w:val="0001516A"/>
    <w:rsid w:val="00015A86"/>
    <w:rsid w:val="00015D68"/>
    <w:rsid w:val="000165F6"/>
    <w:rsid w:val="000174D5"/>
    <w:rsid w:val="00017612"/>
    <w:rsid w:val="00020559"/>
    <w:rsid w:val="000210FE"/>
    <w:rsid w:val="00022320"/>
    <w:rsid w:val="00027987"/>
    <w:rsid w:val="00027B94"/>
    <w:rsid w:val="00041928"/>
    <w:rsid w:val="00042B89"/>
    <w:rsid w:val="0004631C"/>
    <w:rsid w:val="000464B5"/>
    <w:rsid w:val="00046A04"/>
    <w:rsid w:val="00050DDF"/>
    <w:rsid w:val="00051FB0"/>
    <w:rsid w:val="00054FA2"/>
    <w:rsid w:val="000553C0"/>
    <w:rsid w:val="00055B59"/>
    <w:rsid w:val="00056624"/>
    <w:rsid w:val="0005782C"/>
    <w:rsid w:val="00057C6B"/>
    <w:rsid w:val="00060F72"/>
    <w:rsid w:val="00064588"/>
    <w:rsid w:val="00064E87"/>
    <w:rsid w:val="000665C0"/>
    <w:rsid w:val="00067338"/>
    <w:rsid w:val="00070478"/>
    <w:rsid w:val="00071DD1"/>
    <w:rsid w:val="000760BA"/>
    <w:rsid w:val="00080481"/>
    <w:rsid w:val="00080E51"/>
    <w:rsid w:val="000812B5"/>
    <w:rsid w:val="00081593"/>
    <w:rsid w:val="00082323"/>
    <w:rsid w:val="00083A8E"/>
    <w:rsid w:val="00085159"/>
    <w:rsid w:val="00087161"/>
    <w:rsid w:val="00091BBB"/>
    <w:rsid w:val="0009269B"/>
    <w:rsid w:val="00093C7D"/>
    <w:rsid w:val="00093FA2"/>
    <w:rsid w:val="000950FE"/>
    <w:rsid w:val="000A0D89"/>
    <w:rsid w:val="000A11DE"/>
    <w:rsid w:val="000A321F"/>
    <w:rsid w:val="000A3B3C"/>
    <w:rsid w:val="000A3C70"/>
    <w:rsid w:val="000A524E"/>
    <w:rsid w:val="000A52E3"/>
    <w:rsid w:val="000A6473"/>
    <w:rsid w:val="000B117F"/>
    <w:rsid w:val="000B2CEA"/>
    <w:rsid w:val="000B463D"/>
    <w:rsid w:val="000B5D4D"/>
    <w:rsid w:val="000B5EE7"/>
    <w:rsid w:val="000C08EE"/>
    <w:rsid w:val="000C0CF9"/>
    <w:rsid w:val="000C35E6"/>
    <w:rsid w:val="000C3F22"/>
    <w:rsid w:val="000C4D13"/>
    <w:rsid w:val="000C4EC6"/>
    <w:rsid w:val="000D1266"/>
    <w:rsid w:val="000D1DDC"/>
    <w:rsid w:val="000D25C7"/>
    <w:rsid w:val="000D271D"/>
    <w:rsid w:val="000D2899"/>
    <w:rsid w:val="000D28D8"/>
    <w:rsid w:val="000D4519"/>
    <w:rsid w:val="000D4C56"/>
    <w:rsid w:val="000D51EB"/>
    <w:rsid w:val="000D739C"/>
    <w:rsid w:val="000D7DAD"/>
    <w:rsid w:val="000E295C"/>
    <w:rsid w:val="000F067F"/>
    <w:rsid w:val="000F0B0B"/>
    <w:rsid w:val="000F106E"/>
    <w:rsid w:val="000F2A6E"/>
    <w:rsid w:val="000F4875"/>
    <w:rsid w:val="000F4941"/>
    <w:rsid w:val="000F49B5"/>
    <w:rsid w:val="000F4F2A"/>
    <w:rsid w:val="000F7988"/>
    <w:rsid w:val="00102AC6"/>
    <w:rsid w:val="00103336"/>
    <w:rsid w:val="00103C09"/>
    <w:rsid w:val="001051D4"/>
    <w:rsid w:val="001068C4"/>
    <w:rsid w:val="00106CD7"/>
    <w:rsid w:val="00110C67"/>
    <w:rsid w:val="001133F7"/>
    <w:rsid w:val="0011402A"/>
    <w:rsid w:val="0011476A"/>
    <w:rsid w:val="00115A81"/>
    <w:rsid w:val="00115A9F"/>
    <w:rsid w:val="00117A34"/>
    <w:rsid w:val="001208D9"/>
    <w:rsid w:val="00121FC5"/>
    <w:rsid w:val="00122C9B"/>
    <w:rsid w:val="0012425D"/>
    <w:rsid w:val="00125AE3"/>
    <w:rsid w:val="00126529"/>
    <w:rsid w:val="001267A0"/>
    <w:rsid w:val="0013046B"/>
    <w:rsid w:val="001322CB"/>
    <w:rsid w:val="00132A78"/>
    <w:rsid w:val="001336C2"/>
    <w:rsid w:val="00136519"/>
    <w:rsid w:val="0013736F"/>
    <w:rsid w:val="00140412"/>
    <w:rsid w:val="001415F0"/>
    <w:rsid w:val="00141C45"/>
    <w:rsid w:val="00141FE8"/>
    <w:rsid w:val="001422B2"/>
    <w:rsid w:val="001425BA"/>
    <w:rsid w:val="001427E9"/>
    <w:rsid w:val="00142962"/>
    <w:rsid w:val="00142D59"/>
    <w:rsid w:val="00143A0F"/>
    <w:rsid w:val="00144749"/>
    <w:rsid w:val="00144B7B"/>
    <w:rsid w:val="00144E7F"/>
    <w:rsid w:val="00147AB9"/>
    <w:rsid w:val="0015020B"/>
    <w:rsid w:val="00151DF8"/>
    <w:rsid w:val="0015442A"/>
    <w:rsid w:val="001559C6"/>
    <w:rsid w:val="001565C5"/>
    <w:rsid w:val="00157880"/>
    <w:rsid w:val="00161588"/>
    <w:rsid w:val="00161D35"/>
    <w:rsid w:val="001631F7"/>
    <w:rsid w:val="0016508F"/>
    <w:rsid w:val="00165BB9"/>
    <w:rsid w:val="00171364"/>
    <w:rsid w:val="00171387"/>
    <w:rsid w:val="00171EE7"/>
    <w:rsid w:val="00172B09"/>
    <w:rsid w:val="001730AE"/>
    <w:rsid w:val="0017374C"/>
    <w:rsid w:val="00173916"/>
    <w:rsid w:val="0017451C"/>
    <w:rsid w:val="00175C56"/>
    <w:rsid w:val="00182777"/>
    <w:rsid w:val="00183BFB"/>
    <w:rsid w:val="00184C2C"/>
    <w:rsid w:val="0018585D"/>
    <w:rsid w:val="00186179"/>
    <w:rsid w:val="0018647B"/>
    <w:rsid w:val="00186538"/>
    <w:rsid w:val="0018718F"/>
    <w:rsid w:val="00187648"/>
    <w:rsid w:val="00187C40"/>
    <w:rsid w:val="001908AD"/>
    <w:rsid w:val="001909D5"/>
    <w:rsid w:val="00190CB5"/>
    <w:rsid w:val="00193DAE"/>
    <w:rsid w:val="001947F1"/>
    <w:rsid w:val="001956EA"/>
    <w:rsid w:val="00195B85"/>
    <w:rsid w:val="00195CE0"/>
    <w:rsid w:val="00197915"/>
    <w:rsid w:val="00197D40"/>
    <w:rsid w:val="00197DA0"/>
    <w:rsid w:val="001A0CC3"/>
    <w:rsid w:val="001A2914"/>
    <w:rsid w:val="001A2ABA"/>
    <w:rsid w:val="001A2EDE"/>
    <w:rsid w:val="001A2F07"/>
    <w:rsid w:val="001A4A83"/>
    <w:rsid w:val="001A4E8B"/>
    <w:rsid w:val="001A73B9"/>
    <w:rsid w:val="001A7CB8"/>
    <w:rsid w:val="001A7F02"/>
    <w:rsid w:val="001B3BFD"/>
    <w:rsid w:val="001B4A1A"/>
    <w:rsid w:val="001B4AB9"/>
    <w:rsid w:val="001B59B7"/>
    <w:rsid w:val="001B7584"/>
    <w:rsid w:val="001C02CD"/>
    <w:rsid w:val="001C051D"/>
    <w:rsid w:val="001C0DEB"/>
    <w:rsid w:val="001C2A96"/>
    <w:rsid w:val="001C3B9C"/>
    <w:rsid w:val="001C4095"/>
    <w:rsid w:val="001C4828"/>
    <w:rsid w:val="001C498F"/>
    <w:rsid w:val="001C654D"/>
    <w:rsid w:val="001C67E0"/>
    <w:rsid w:val="001C697F"/>
    <w:rsid w:val="001C76BE"/>
    <w:rsid w:val="001C76FE"/>
    <w:rsid w:val="001D014E"/>
    <w:rsid w:val="001D06E1"/>
    <w:rsid w:val="001D1334"/>
    <w:rsid w:val="001D1B5B"/>
    <w:rsid w:val="001D283C"/>
    <w:rsid w:val="001D307A"/>
    <w:rsid w:val="001D4163"/>
    <w:rsid w:val="001D494D"/>
    <w:rsid w:val="001D5E74"/>
    <w:rsid w:val="001D6C4B"/>
    <w:rsid w:val="001D7480"/>
    <w:rsid w:val="001E1DF9"/>
    <w:rsid w:val="001E267C"/>
    <w:rsid w:val="001E3635"/>
    <w:rsid w:val="001E5DC9"/>
    <w:rsid w:val="001E7713"/>
    <w:rsid w:val="001E7A64"/>
    <w:rsid w:val="001F0D49"/>
    <w:rsid w:val="001F15D9"/>
    <w:rsid w:val="001F3814"/>
    <w:rsid w:val="001F5924"/>
    <w:rsid w:val="0020347B"/>
    <w:rsid w:val="00203F1A"/>
    <w:rsid w:val="00205DDF"/>
    <w:rsid w:val="00206A99"/>
    <w:rsid w:val="0020775F"/>
    <w:rsid w:val="002100B0"/>
    <w:rsid w:val="00210C34"/>
    <w:rsid w:val="0021235C"/>
    <w:rsid w:val="0021466F"/>
    <w:rsid w:val="002146B2"/>
    <w:rsid w:val="00216848"/>
    <w:rsid w:val="00217414"/>
    <w:rsid w:val="00221A19"/>
    <w:rsid w:val="00221D24"/>
    <w:rsid w:val="00223993"/>
    <w:rsid w:val="0022602D"/>
    <w:rsid w:val="002262DF"/>
    <w:rsid w:val="0023159E"/>
    <w:rsid w:val="002329F5"/>
    <w:rsid w:val="00236699"/>
    <w:rsid w:val="0023752D"/>
    <w:rsid w:val="002376B4"/>
    <w:rsid w:val="0023771B"/>
    <w:rsid w:val="00242368"/>
    <w:rsid w:val="00242701"/>
    <w:rsid w:val="00244993"/>
    <w:rsid w:val="0024550A"/>
    <w:rsid w:val="00245EE4"/>
    <w:rsid w:val="002500A4"/>
    <w:rsid w:val="0025015C"/>
    <w:rsid w:val="002503CA"/>
    <w:rsid w:val="002508B6"/>
    <w:rsid w:val="00250AB9"/>
    <w:rsid w:val="00253965"/>
    <w:rsid w:val="00254669"/>
    <w:rsid w:val="002551A6"/>
    <w:rsid w:val="00255912"/>
    <w:rsid w:val="00260551"/>
    <w:rsid w:val="00260DF3"/>
    <w:rsid w:val="00264368"/>
    <w:rsid w:val="00264618"/>
    <w:rsid w:val="002649AB"/>
    <w:rsid w:val="00265571"/>
    <w:rsid w:val="0026578D"/>
    <w:rsid w:val="00265E18"/>
    <w:rsid w:val="00266389"/>
    <w:rsid w:val="00266CE3"/>
    <w:rsid w:val="002705D8"/>
    <w:rsid w:val="0027067B"/>
    <w:rsid w:val="00270A99"/>
    <w:rsid w:val="00272B4F"/>
    <w:rsid w:val="0027446D"/>
    <w:rsid w:val="002748BE"/>
    <w:rsid w:val="00275874"/>
    <w:rsid w:val="002764B3"/>
    <w:rsid w:val="00276794"/>
    <w:rsid w:val="00276E57"/>
    <w:rsid w:val="002775CD"/>
    <w:rsid w:val="00283FA1"/>
    <w:rsid w:val="00287DA4"/>
    <w:rsid w:val="002903A6"/>
    <w:rsid w:val="002924C4"/>
    <w:rsid w:val="00292BF8"/>
    <w:rsid w:val="00292EEF"/>
    <w:rsid w:val="0029554F"/>
    <w:rsid w:val="00295B2A"/>
    <w:rsid w:val="00296147"/>
    <w:rsid w:val="002A286E"/>
    <w:rsid w:val="002A428C"/>
    <w:rsid w:val="002A6298"/>
    <w:rsid w:val="002A72E8"/>
    <w:rsid w:val="002A7916"/>
    <w:rsid w:val="002B03F1"/>
    <w:rsid w:val="002B7DA4"/>
    <w:rsid w:val="002C09D1"/>
    <w:rsid w:val="002C0BBD"/>
    <w:rsid w:val="002C3C8E"/>
    <w:rsid w:val="002C48F9"/>
    <w:rsid w:val="002C4E43"/>
    <w:rsid w:val="002C7B97"/>
    <w:rsid w:val="002D02C0"/>
    <w:rsid w:val="002D02D3"/>
    <w:rsid w:val="002D24A9"/>
    <w:rsid w:val="002D2DA8"/>
    <w:rsid w:val="002D3918"/>
    <w:rsid w:val="002D4430"/>
    <w:rsid w:val="002D4572"/>
    <w:rsid w:val="002D5456"/>
    <w:rsid w:val="002E232C"/>
    <w:rsid w:val="002E4C4F"/>
    <w:rsid w:val="002E7D9F"/>
    <w:rsid w:val="002F00D9"/>
    <w:rsid w:val="002F0A22"/>
    <w:rsid w:val="002F19D4"/>
    <w:rsid w:val="002F326D"/>
    <w:rsid w:val="002F3A99"/>
    <w:rsid w:val="002F4A25"/>
    <w:rsid w:val="002F5F70"/>
    <w:rsid w:val="002F601D"/>
    <w:rsid w:val="002F6824"/>
    <w:rsid w:val="0030049D"/>
    <w:rsid w:val="00300D37"/>
    <w:rsid w:val="0030191F"/>
    <w:rsid w:val="00306430"/>
    <w:rsid w:val="00306884"/>
    <w:rsid w:val="00307AC4"/>
    <w:rsid w:val="00307DB0"/>
    <w:rsid w:val="00312CD9"/>
    <w:rsid w:val="003146CF"/>
    <w:rsid w:val="00315D30"/>
    <w:rsid w:val="003161F9"/>
    <w:rsid w:val="00316B7B"/>
    <w:rsid w:val="003171D1"/>
    <w:rsid w:val="00320842"/>
    <w:rsid w:val="00320BFC"/>
    <w:rsid w:val="0032113D"/>
    <w:rsid w:val="00321616"/>
    <w:rsid w:val="0032178B"/>
    <w:rsid w:val="003226D0"/>
    <w:rsid w:val="003248E5"/>
    <w:rsid w:val="00325DCD"/>
    <w:rsid w:val="0032687F"/>
    <w:rsid w:val="003268C1"/>
    <w:rsid w:val="00326C4F"/>
    <w:rsid w:val="0032725F"/>
    <w:rsid w:val="003313F2"/>
    <w:rsid w:val="003320EB"/>
    <w:rsid w:val="00335FAD"/>
    <w:rsid w:val="003374F7"/>
    <w:rsid w:val="00337EEC"/>
    <w:rsid w:val="0034066B"/>
    <w:rsid w:val="003414AD"/>
    <w:rsid w:val="00342829"/>
    <w:rsid w:val="00343180"/>
    <w:rsid w:val="0034499A"/>
    <w:rsid w:val="00344FB1"/>
    <w:rsid w:val="003455D2"/>
    <w:rsid w:val="003455DF"/>
    <w:rsid w:val="00347291"/>
    <w:rsid w:val="00347ABB"/>
    <w:rsid w:val="003511FD"/>
    <w:rsid w:val="00352EE4"/>
    <w:rsid w:val="003543BE"/>
    <w:rsid w:val="00355520"/>
    <w:rsid w:val="00355CFA"/>
    <w:rsid w:val="00357C42"/>
    <w:rsid w:val="003621BB"/>
    <w:rsid w:val="00362204"/>
    <w:rsid w:val="00362899"/>
    <w:rsid w:val="00362927"/>
    <w:rsid w:val="00365540"/>
    <w:rsid w:val="003720ED"/>
    <w:rsid w:val="00372C8C"/>
    <w:rsid w:val="00373684"/>
    <w:rsid w:val="0037498A"/>
    <w:rsid w:val="00374A2D"/>
    <w:rsid w:val="00375171"/>
    <w:rsid w:val="003751FA"/>
    <w:rsid w:val="003755D6"/>
    <w:rsid w:val="00375D10"/>
    <w:rsid w:val="00375E58"/>
    <w:rsid w:val="003822A2"/>
    <w:rsid w:val="00382774"/>
    <w:rsid w:val="00384189"/>
    <w:rsid w:val="003845F9"/>
    <w:rsid w:val="00384690"/>
    <w:rsid w:val="00384C2D"/>
    <w:rsid w:val="00385838"/>
    <w:rsid w:val="003860B7"/>
    <w:rsid w:val="00390406"/>
    <w:rsid w:val="00390A0E"/>
    <w:rsid w:val="00391B87"/>
    <w:rsid w:val="003944B9"/>
    <w:rsid w:val="003952F0"/>
    <w:rsid w:val="003965ED"/>
    <w:rsid w:val="00396F98"/>
    <w:rsid w:val="003A03CE"/>
    <w:rsid w:val="003A059F"/>
    <w:rsid w:val="003A077A"/>
    <w:rsid w:val="003A0983"/>
    <w:rsid w:val="003A33E7"/>
    <w:rsid w:val="003A428D"/>
    <w:rsid w:val="003A4ECC"/>
    <w:rsid w:val="003A5852"/>
    <w:rsid w:val="003A5CDD"/>
    <w:rsid w:val="003A67D4"/>
    <w:rsid w:val="003A70F2"/>
    <w:rsid w:val="003A7FBA"/>
    <w:rsid w:val="003B0042"/>
    <w:rsid w:val="003B27C9"/>
    <w:rsid w:val="003B29D3"/>
    <w:rsid w:val="003B2EBA"/>
    <w:rsid w:val="003B5496"/>
    <w:rsid w:val="003D127D"/>
    <w:rsid w:val="003D1FB4"/>
    <w:rsid w:val="003D4AA0"/>
    <w:rsid w:val="003D586A"/>
    <w:rsid w:val="003E26A3"/>
    <w:rsid w:val="003E3A7C"/>
    <w:rsid w:val="003E4AAF"/>
    <w:rsid w:val="003E5D31"/>
    <w:rsid w:val="003E5DB6"/>
    <w:rsid w:val="003F1906"/>
    <w:rsid w:val="003F198D"/>
    <w:rsid w:val="003F1C56"/>
    <w:rsid w:val="003F303E"/>
    <w:rsid w:val="003F3A26"/>
    <w:rsid w:val="003F3B19"/>
    <w:rsid w:val="003F7B5A"/>
    <w:rsid w:val="0040113C"/>
    <w:rsid w:val="0040231D"/>
    <w:rsid w:val="004037D4"/>
    <w:rsid w:val="0040652A"/>
    <w:rsid w:val="00407298"/>
    <w:rsid w:val="004079B4"/>
    <w:rsid w:val="00414913"/>
    <w:rsid w:val="00416547"/>
    <w:rsid w:val="0042055F"/>
    <w:rsid w:val="004209F1"/>
    <w:rsid w:val="00421281"/>
    <w:rsid w:val="00421BC7"/>
    <w:rsid w:val="00424BB4"/>
    <w:rsid w:val="00426A4C"/>
    <w:rsid w:val="00427E31"/>
    <w:rsid w:val="00432600"/>
    <w:rsid w:val="004327C0"/>
    <w:rsid w:val="00432B3D"/>
    <w:rsid w:val="00440763"/>
    <w:rsid w:val="00440D74"/>
    <w:rsid w:val="00445C7F"/>
    <w:rsid w:val="00447128"/>
    <w:rsid w:val="00447637"/>
    <w:rsid w:val="00450004"/>
    <w:rsid w:val="00450475"/>
    <w:rsid w:val="0045481F"/>
    <w:rsid w:val="00454A5F"/>
    <w:rsid w:val="004550F7"/>
    <w:rsid w:val="00460301"/>
    <w:rsid w:val="004611B1"/>
    <w:rsid w:val="00464A91"/>
    <w:rsid w:val="00465667"/>
    <w:rsid w:val="00467900"/>
    <w:rsid w:val="00467C7A"/>
    <w:rsid w:val="0047062F"/>
    <w:rsid w:val="00471FAD"/>
    <w:rsid w:val="0047376B"/>
    <w:rsid w:val="00474557"/>
    <w:rsid w:val="00474965"/>
    <w:rsid w:val="00475410"/>
    <w:rsid w:val="0047593F"/>
    <w:rsid w:val="00475E62"/>
    <w:rsid w:val="00476867"/>
    <w:rsid w:val="00477989"/>
    <w:rsid w:val="00481134"/>
    <w:rsid w:val="004814B5"/>
    <w:rsid w:val="004821E5"/>
    <w:rsid w:val="00482A88"/>
    <w:rsid w:val="00482B1D"/>
    <w:rsid w:val="00483286"/>
    <w:rsid w:val="004835BF"/>
    <w:rsid w:val="004839DD"/>
    <w:rsid w:val="00483BDB"/>
    <w:rsid w:val="0048576A"/>
    <w:rsid w:val="004860CB"/>
    <w:rsid w:val="0048662A"/>
    <w:rsid w:val="004900ED"/>
    <w:rsid w:val="004915FF"/>
    <w:rsid w:val="00491C28"/>
    <w:rsid w:val="00492E80"/>
    <w:rsid w:val="00493042"/>
    <w:rsid w:val="004937C1"/>
    <w:rsid w:val="004945EC"/>
    <w:rsid w:val="00494E8C"/>
    <w:rsid w:val="00494F30"/>
    <w:rsid w:val="00495EBA"/>
    <w:rsid w:val="00497308"/>
    <w:rsid w:val="00497E15"/>
    <w:rsid w:val="004A0892"/>
    <w:rsid w:val="004A0F49"/>
    <w:rsid w:val="004A471B"/>
    <w:rsid w:val="004A6347"/>
    <w:rsid w:val="004A749D"/>
    <w:rsid w:val="004A7570"/>
    <w:rsid w:val="004B1D3F"/>
    <w:rsid w:val="004B1F99"/>
    <w:rsid w:val="004B2E18"/>
    <w:rsid w:val="004B46F0"/>
    <w:rsid w:val="004C0F4D"/>
    <w:rsid w:val="004C19DC"/>
    <w:rsid w:val="004C26B9"/>
    <w:rsid w:val="004C2A37"/>
    <w:rsid w:val="004C4155"/>
    <w:rsid w:val="004C5B74"/>
    <w:rsid w:val="004D04C9"/>
    <w:rsid w:val="004D47A3"/>
    <w:rsid w:val="004E0640"/>
    <w:rsid w:val="004E08C3"/>
    <w:rsid w:val="004E235B"/>
    <w:rsid w:val="004E336A"/>
    <w:rsid w:val="004E3AE2"/>
    <w:rsid w:val="004F31F7"/>
    <w:rsid w:val="004F45AD"/>
    <w:rsid w:val="004F585C"/>
    <w:rsid w:val="004F5C90"/>
    <w:rsid w:val="004F63CD"/>
    <w:rsid w:val="004F64DD"/>
    <w:rsid w:val="00501B10"/>
    <w:rsid w:val="00502F05"/>
    <w:rsid w:val="00505F7A"/>
    <w:rsid w:val="00506AA7"/>
    <w:rsid w:val="00506B05"/>
    <w:rsid w:val="00506E13"/>
    <w:rsid w:val="00506F86"/>
    <w:rsid w:val="00506FEA"/>
    <w:rsid w:val="00510902"/>
    <w:rsid w:val="0051122D"/>
    <w:rsid w:val="00511576"/>
    <w:rsid w:val="005165AB"/>
    <w:rsid w:val="005167F4"/>
    <w:rsid w:val="0051742B"/>
    <w:rsid w:val="0052082E"/>
    <w:rsid w:val="0052285A"/>
    <w:rsid w:val="005243CB"/>
    <w:rsid w:val="005250BE"/>
    <w:rsid w:val="00526B26"/>
    <w:rsid w:val="005279B7"/>
    <w:rsid w:val="00530D84"/>
    <w:rsid w:val="00531BBC"/>
    <w:rsid w:val="00533BDE"/>
    <w:rsid w:val="005347AC"/>
    <w:rsid w:val="00534FFE"/>
    <w:rsid w:val="005357DD"/>
    <w:rsid w:val="00535D73"/>
    <w:rsid w:val="00543D51"/>
    <w:rsid w:val="00543E6C"/>
    <w:rsid w:val="005448F4"/>
    <w:rsid w:val="005456AB"/>
    <w:rsid w:val="00545C42"/>
    <w:rsid w:val="00547129"/>
    <w:rsid w:val="00552143"/>
    <w:rsid w:val="005524B4"/>
    <w:rsid w:val="00553161"/>
    <w:rsid w:val="005540E3"/>
    <w:rsid w:val="005545CD"/>
    <w:rsid w:val="0055659D"/>
    <w:rsid w:val="005565F6"/>
    <w:rsid w:val="0055714A"/>
    <w:rsid w:val="00566DE1"/>
    <w:rsid w:val="00567259"/>
    <w:rsid w:val="00570687"/>
    <w:rsid w:val="00570A5A"/>
    <w:rsid w:val="00571A6F"/>
    <w:rsid w:val="00571BB2"/>
    <w:rsid w:val="00573C0F"/>
    <w:rsid w:val="00574BF0"/>
    <w:rsid w:val="00575EDA"/>
    <w:rsid w:val="00576043"/>
    <w:rsid w:val="005761DB"/>
    <w:rsid w:val="005764F4"/>
    <w:rsid w:val="005779DB"/>
    <w:rsid w:val="005809C4"/>
    <w:rsid w:val="005811FF"/>
    <w:rsid w:val="00581C10"/>
    <w:rsid w:val="00581E68"/>
    <w:rsid w:val="00583112"/>
    <w:rsid w:val="005838DC"/>
    <w:rsid w:val="005839BA"/>
    <w:rsid w:val="00584F3A"/>
    <w:rsid w:val="0058691F"/>
    <w:rsid w:val="00587057"/>
    <w:rsid w:val="00587395"/>
    <w:rsid w:val="00590982"/>
    <w:rsid w:val="00590DD6"/>
    <w:rsid w:val="00590E69"/>
    <w:rsid w:val="00590F8F"/>
    <w:rsid w:val="00592B22"/>
    <w:rsid w:val="00593334"/>
    <w:rsid w:val="0059368E"/>
    <w:rsid w:val="00596A27"/>
    <w:rsid w:val="005A0111"/>
    <w:rsid w:val="005A47FC"/>
    <w:rsid w:val="005A6446"/>
    <w:rsid w:val="005A799B"/>
    <w:rsid w:val="005B0DFB"/>
    <w:rsid w:val="005B2A5C"/>
    <w:rsid w:val="005B3C85"/>
    <w:rsid w:val="005B46DA"/>
    <w:rsid w:val="005B7B0D"/>
    <w:rsid w:val="005C0D75"/>
    <w:rsid w:val="005C174A"/>
    <w:rsid w:val="005C178C"/>
    <w:rsid w:val="005C17C6"/>
    <w:rsid w:val="005C1885"/>
    <w:rsid w:val="005C1D69"/>
    <w:rsid w:val="005C2239"/>
    <w:rsid w:val="005C4FA7"/>
    <w:rsid w:val="005C649B"/>
    <w:rsid w:val="005D14D9"/>
    <w:rsid w:val="005D1BFF"/>
    <w:rsid w:val="005D1D89"/>
    <w:rsid w:val="005D2023"/>
    <w:rsid w:val="005D590D"/>
    <w:rsid w:val="005D6E77"/>
    <w:rsid w:val="005E0BF0"/>
    <w:rsid w:val="005E183E"/>
    <w:rsid w:val="005E1982"/>
    <w:rsid w:val="005E1B43"/>
    <w:rsid w:val="005E2CBA"/>
    <w:rsid w:val="005E4117"/>
    <w:rsid w:val="005F0798"/>
    <w:rsid w:val="005F0BEB"/>
    <w:rsid w:val="005F0E70"/>
    <w:rsid w:val="005F3C18"/>
    <w:rsid w:val="00603914"/>
    <w:rsid w:val="0060435F"/>
    <w:rsid w:val="00604D0E"/>
    <w:rsid w:val="00605150"/>
    <w:rsid w:val="006053FC"/>
    <w:rsid w:val="00605815"/>
    <w:rsid w:val="006067D4"/>
    <w:rsid w:val="00607A23"/>
    <w:rsid w:val="0061192C"/>
    <w:rsid w:val="00613244"/>
    <w:rsid w:val="006140F3"/>
    <w:rsid w:val="00614A84"/>
    <w:rsid w:val="006161AB"/>
    <w:rsid w:val="00617D83"/>
    <w:rsid w:val="00621B36"/>
    <w:rsid w:val="0062360B"/>
    <w:rsid w:val="0062560D"/>
    <w:rsid w:val="006256E2"/>
    <w:rsid w:val="00627260"/>
    <w:rsid w:val="0063069B"/>
    <w:rsid w:val="006311C6"/>
    <w:rsid w:val="006312AF"/>
    <w:rsid w:val="006347C4"/>
    <w:rsid w:val="0063566E"/>
    <w:rsid w:val="00635BB6"/>
    <w:rsid w:val="00637ED0"/>
    <w:rsid w:val="00641A3A"/>
    <w:rsid w:val="006423E3"/>
    <w:rsid w:val="00644C8B"/>
    <w:rsid w:val="00645E29"/>
    <w:rsid w:val="00646CF8"/>
    <w:rsid w:val="006474E1"/>
    <w:rsid w:val="00652D27"/>
    <w:rsid w:val="00657B42"/>
    <w:rsid w:val="006614A1"/>
    <w:rsid w:val="00663994"/>
    <w:rsid w:val="0066443D"/>
    <w:rsid w:val="00665D26"/>
    <w:rsid w:val="00666B8B"/>
    <w:rsid w:val="00666F95"/>
    <w:rsid w:val="006675BD"/>
    <w:rsid w:val="00673A51"/>
    <w:rsid w:val="00676797"/>
    <w:rsid w:val="00677D2F"/>
    <w:rsid w:val="00677E69"/>
    <w:rsid w:val="00680BE2"/>
    <w:rsid w:val="006847BC"/>
    <w:rsid w:val="00686B9D"/>
    <w:rsid w:val="00691B91"/>
    <w:rsid w:val="00692EF1"/>
    <w:rsid w:val="00696578"/>
    <w:rsid w:val="00697123"/>
    <w:rsid w:val="006A144C"/>
    <w:rsid w:val="006A3117"/>
    <w:rsid w:val="006A50A1"/>
    <w:rsid w:val="006A6577"/>
    <w:rsid w:val="006A70D8"/>
    <w:rsid w:val="006A749D"/>
    <w:rsid w:val="006B0BF7"/>
    <w:rsid w:val="006B2839"/>
    <w:rsid w:val="006B301E"/>
    <w:rsid w:val="006B5B59"/>
    <w:rsid w:val="006B605D"/>
    <w:rsid w:val="006B6865"/>
    <w:rsid w:val="006B7A98"/>
    <w:rsid w:val="006C0184"/>
    <w:rsid w:val="006C0A8F"/>
    <w:rsid w:val="006C191F"/>
    <w:rsid w:val="006C2488"/>
    <w:rsid w:val="006C3679"/>
    <w:rsid w:val="006C40BD"/>
    <w:rsid w:val="006C489E"/>
    <w:rsid w:val="006C52B0"/>
    <w:rsid w:val="006C5946"/>
    <w:rsid w:val="006C630B"/>
    <w:rsid w:val="006C7265"/>
    <w:rsid w:val="006D033B"/>
    <w:rsid w:val="006D1AFF"/>
    <w:rsid w:val="006D212D"/>
    <w:rsid w:val="006D2E44"/>
    <w:rsid w:val="006D3C58"/>
    <w:rsid w:val="006D521E"/>
    <w:rsid w:val="006D6959"/>
    <w:rsid w:val="006E38B2"/>
    <w:rsid w:val="006E632A"/>
    <w:rsid w:val="006E640D"/>
    <w:rsid w:val="006E74B0"/>
    <w:rsid w:val="006F0894"/>
    <w:rsid w:val="006F0B71"/>
    <w:rsid w:val="006F28D2"/>
    <w:rsid w:val="006F2BF5"/>
    <w:rsid w:val="006F2DFB"/>
    <w:rsid w:val="006F44C5"/>
    <w:rsid w:val="0070051E"/>
    <w:rsid w:val="00700554"/>
    <w:rsid w:val="007008BF"/>
    <w:rsid w:val="007034F6"/>
    <w:rsid w:val="00706A34"/>
    <w:rsid w:val="007110A1"/>
    <w:rsid w:val="00711D63"/>
    <w:rsid w:val="00711FAC"/>
    <w:rsid w:val="007202B3"/>
    <w:rsid w:val="007213F1"/>
    <w:rsid w:val="007216D6"/>
    <w:rsid w:val="0072625A"/>
    <w:rsid w:val="00727616"/>
    <w:rsid w:val="00731F49"/>
    <w:rsid w:val="00733B4F"/>
    <w:rsid w:val="00735E9E"/>
    <w:rsid w:val="00737AA3"/>
    <w:rsid w:val="00743720"/>
    <w:rsid w:val="00743FC0"/>
    <w:rsid w:val="00745EF1"/>
    <w:rsid w:val="0074734C"/>
    <w:rsid w:val="007500DB"/>
    <w:rsid w:val="007516C7"/>
    <w:rsid w:val="007516EF"/>
    <w:rsid w:val="00751DA1"/>
    <w:rsid w:val="007521CE"/>
    <w:rsid w:val="00752546"/>
    <w:rsid w:val="00754464"/>
    <w:rsid w:val="00755A84"/>
    <w:rsid w:val="00756004"/>
    <w:rsid w:val="007561AF"/>
    <w:rsid w:val="00761B76"/>
    <w:rsid w:val="00762041"/>
    <w:rsid w:val="0076239B"/>
    <w:rsid w:val="00762F21"/>
    <w:rsid w:val="0076497F"/>
    <w:rsid w:val="0076604D"/>
    <w:rsid w:val="00766651"/>
    <w:rsid w:val="00766A4B"/>
    <w:rsid w:val="0077105A"/>
    <w:rsid w:val="0077108A"/>
    <w:rsid w:val="00771631"/>
    <w:rsid w:val="00771754"/>
    <w:rsid w:val="00772418"/>
    <w:rsid w:val="007730EC"/>
    <w:rsid w:val="007732E2"/>
    <w:rsid w:val="007733FC"/>
    <w:rsid w:val="00773456"/>
    <w:rsid w:val="00775B17"/>
    <w:rsid w:val="0077622D"/>
    <w:rsid w:val="00776B39"/>
    <w:rsid w:val="00777810"/>
    <w:rsid w:val="00777920"/>
    <w:rsid w:val="00781D50"/>
    <w:rsid w:val="00782F47"/>
    <w:rsid w:val="00783526"/>
    <w:rsid w:val="0079121A"/>
    <w:rsid w:val="007912AB"/>
    <w:rsid w:val="00791BE2"/>
    <w:rsid w:val="00792536"/>
    <w:rsid w:val="0079260C"/>
    <w:rsid w:val="0079512B"/>
    <w:rsid w:val="0079701E"/>
    <w:rsid w:val="00797165"/>
    <w:rsid w:val="00797492"/>
    <w:rsid w:val="00797F93"/>
    <w:rsid w:val="007A580F"/>
    <w:rsid w:val="007A5F6C"/>
    <w:rsid w:val="007A5FAA"/>
    <w:rsid w:val="007A6A04"/>
    <w:rsid w:val="007A7817"/>
    <w:rsid w:val="007B207C"/>
    <w:rsid w:val="007B21AB"/>
    <w:rsid w:val="007B2D74"/>
    <w:rsid w:val="007B35B2"/>
    <w:rsid w:val="007B503B"/>
    <w:rsid w:val="007B58E4"/>
    <w:rsid w:val="007B6023"/>
    <w:rsid w:val="007B6576"/>
    <w:rsid w:val="007B77AA"/>
    <w:rsid w:val="007C01F6"/>
    <w:rsid w:val="007C035A"/>
    <w:rsid w:val="007C04C6"/>
    <w:rsid w:val="007C2E78"/>
    <w:rsid w:val="007C4928"/>
    <w:rsid w:val="007C55C2"/>
    <w:rsid w:val="007C5EA4"/>
    <w:rsid w:val="007C767C"/>
    <w:rsid w:val="007C7C15"/>
    <w:rsid w:val="007D0A4D"/>
    <w:rsid w:val="007D2258"/>
    <w:rsid w:val="007D2F36"/>
    <w:rsid w:val="007D311E"/>
    <w:rsid w:val="007D477B"/>
    <w:rsid w:val="007D64D6"/>
    <w:rsid w:val="007D66D3"/>
    <w:rsid w:val="007E25C1"/>
    <w:rsid w:val="007E77D1"/>
    <w:rsid w:val="007E79CD"/>
    <w:rsid w:val="007E7A90"/>
    <w:rsid w:val="007E7CC3"/>
    <w:rsid w:val="007F0915"/>
    <w:rsid w:val="007F0DAB"/>
    <w:rsid w:val="007F1D51"/>
    <w:rsid w:val="007F2D4E"/>
    <w:rsid w:val="007F394D"/>
    <w:rsid w:val="007F41AF"/>
    <w:rsid w:val="007F4C43"/>
    <w:rsid w:val="007F4EEB"/>
    <w:rsid w:val="007F57CD"/>
    <w:rsid w:val="007F5D33"/>
    <w:rsid w:val="007F5E21"/>
    <w:rsid w:val="007F6C43"/>
    <w:rsid w:val="007F6DFC"/>
    <w:rsid w:val="007F7122"/>
    <w:rsid w:val="007F7441"/>
    <w:rsid w:val="008012C8"/>
    <w:rsid w:val="00801ED1"/>
    <w:rsid w:val="00802464"/>
    <w:rsid w:val="008033AA"/>
    <w:rsid w:val="00803EED"/>
    <w:rsid w:val="00804631"/>
    <w:rsid w:val="00804D7A"/>
    <w:rsid w:val="00805A81"/>
    <w:rsid w:val="00806A30"/>
    <w:rsid w:val="0080753F"/>
    <w:rsid w:val="00807A31"/>
    <w:rsid w:val="0081055D"/>
    <w:rsid w:val="00810C6D"/>
    <w:rsid w:val="008129F4"/>
    <w:rsid w:val="00813A62"/>
    <w:rsid w:val="008204BF"/>
    <w:rsid w:val="00820B3A"/>
    <w:rsid w:val="008213D3"/>
    <w:rsid w:val="00821EEB"/>
    <w:rsid w:val="00823629"/>
    <w:rsid w:val="0082500E"/>
    <w:rsid w:val="00827347"/>
    <w:rsid w:val="0083043E"/>
    <w:rsid w:val="0083051F"/>
    <w:rsid w:val="00830CE0"/>
    <w:rsid w:val="0083309B"/>
    <w:rsid w:val="00833719"/>
    <w:rsid w:val="008345CE"/>
    <w:rsid w:val="00835BA6"/>
    <w:rsid w:val="0083667E"/>
    <w:rsid w:val="00836999"/>
    <w:rsid w:val="0083788D"/>
    <w:rsid w:val="00840020"/>
    <w:rsid w:val="008427D6"/>
    <w:rsid w:val="00844190"/>
    <w:rsid w:val="00851D63"/>
    <w:rsid w:val="00852304"/>
    <w:rsid w:val="00855863"/>
    <w:rsid w:val="00855EB9"/>
    <w:rsid w:val="00857F9D"/>
    <w:rsid w:val="008623BF"/>
    <w:rsid w:val="008665E7"/>
    <w:rsid w:val="00866981"/>
    <w:rsid w:val="00866DFF"/>
    <w:rsid w:val="00866F6D"/>
    <w:rsid w:val="00867206"/>
    <w:rsid w:val="00870475"/>
    <w:rsid w:val="00873396"/>
    <w:rsid w:val="00875464"/>
    <w:rsid w:val="00877B26"/>
    <w:rsid w:val="00877EC5"/>
    <w:rsid w:val="00882309"/>
    <w:rsid w:val="00882380"/>
    <w:rsid w:val="00882EA6"/>
    <w:rsid w:val="00887464"/>
    <w:rsid w:val="0089554D"/>
    <w:rsid w:val="00895A45"/>
    <w:rsid w:val="008A183D"/>
    <w:rsid w:val="008A1BEC"/>
    <w:rsid w:val="008B054A"/>
    <w:rsid w:val="008B0C9F"/>
    <w:rsid w:val="008B100C"/>
    <w:rsid w:val="008B1EDB"/>
    <w:rsid w:val="008B4B76"/>
    <w:rsid w:val="008B56C1"/>
    <w:rsid w:val="008B5921"/>
    <w:rsid w:val="008B5FF0"/>
    <w:rsid w:val="008B735C"/>
    <w:rsid w:val="008C0DA9"/>
    <w:rsid w:val="008C0EB3"/>
    <w:rsid w:val="008C1E55"/>
    <w:rsid w:val="008C49A8"/>
    <w:rsid w:val="008C50C4"/>
    <w:rsid w:val="008C590B"/>
    <w:rsid w:val="008C6BB8"/>
    <w:rsid w:val="008C6C0A"/>
    <w:rsid w:val="008D0020"/>
    <w:rsid w:val="008D20FF"/>
    <w:rsid w:val="008E0D0E"/>
    <w:rsid w:val="008E1047"/>
    <w:rsid w:val="008E11FA"/>
    <w:rsid w:val="008E1C5E"/>
    <w:rsid w:val="008E234A"/>
    <w:rsid w:val="008E3CD9"/>
    <w:rsid w:val="008E4D6D"/>
    <w:rsid w:val="008E4F5A"/>
    <w:rsid w:val="008E7598"/>
    <w:rsid w:val="008F3363"/>
    <w:rsid w:val="008F6767"/>
    <w:rsid w:val="008F67B7"/>
    <w:rsid w:val="008F705B"/>
    <w:rsid w:val="008F7781"/>
    <w:rsid w:val="0090289E"/>
    <w:rsid w:val="00902DDD"/>
    <w:rsid w:val="009044E4"/>
    <w:rsid w:val="00904FF2"/>
    <w:rsid w:val="00905428"/>
    <w:rsid w:val="00905A44"/>
    <w:rsid w:val="00905DB6"/>
    <w:rsid w:val="00907206"/>
    <w:rsid w:val="009102ED"/>
    <w:rsid w:val="009109A5"/>
    <w:rsid w:val="00910E1E"/>
    <w:rsid w:val="00911D2E"/>
    <w:rsid w:val="00912370"/>
    <w:rsid w:val="009130D4"/>
    <w:rsid w:val="00914EF1"/>
    <w:rsid w:val="00915A66"/>
    <w:rsid w:val="00915F24"/>
    <w:rsid w:val="00916292"/>
    <w:rsid w:val="00920DC2"/>
    <w:rsid w:val="0092142D"/>
    <w:rsid w:val="00922178"/>
    <w:rsid w:val="00924AFD"/>
    <w:rsid w:val="00926155"/>
    <w:rsid w:val="00930B17"/>
    <w:rsid w:val="00930D31"/>
    <w:rsid w:val="009311A0"/>
    <w:rsid w:val="009325F2"/>
    <w:rsid w:val="00932866"/>
    <w:rsid w:val="009332C4"/>
    <w:rsid w:val="009345CE"/>
    <w:rsid w:val="009359A0"/>
    <w:rsid w:val="009375C5"/>
    <w:rsid w:val="009379F0"/>
    <w:rsid w:val="00940CF1"/>
    <w:rsid w:val="00941427"/>
    <w:rsid w:val="0094175D"/>
    <w:rsid w:val="009441DF"/>
    <w:rsid w:val="00945057"/>
    <w:rsid w:val="00946278"/>
    <w:rsid w:val="0094794A"/>
    <w:rsid w:val="00950C94"/>
    <w:rsid w:val="009519E4"/>
    <w:rsid w:val="009533A3"/>
    <w:rsid w:val="00954810"/>
    <w:rsid w:val="00954B06"/>
    <w:rsid w:val="00954C51"/>
    <w:rsid w:val="00955361"/>
    <w:rsid w:val="00956E6E"/>
    <w:rsid w:val="00956F02"/>
    <w:rsid w:val="00957095"/>
    <w:rsid w:val="009607D8"/>
    <w:rsid w:val="00961E16"/>
    <w:rsid w:val="009620C4"/>
    <w:rsid w:val="009633CA"/>
    <w:rsid w:val="009637E9"/>
    <w:rsid w:val="00964876"/>
    <w:rsid w:val="009661AC"/>
    <w:rsid w:val="00967B03"/>
    <w:rsid w:val="00970143"/>
    <w:rsid w:val="00971A8B"/>
    <w:rsid w:val="009746B2"/>
    <w:rsid w:val="0097504C"/>
    <w:rsid w:val="00975B53"/>
    <w:rsid w:val="00977A55"/>
    <w:rsid w:val="00981F8B"/>
    <w:rsid w:val="00982A9D"/>
    <w:rsid w:val="00983633"/>
    <w:rsid w:val="00984082"/>
    <w:rsid w:val="00985164"/>
    <w:rsid w:val="00987581"/>
    <w:rsid w:val="0099084D"/>
    <w:rsid w:val="00990AA8"/>
    <w:rsid w:val="00990BFD"/>
    <w:rsid w:val="00991C24"/>
    <w:rsid w:val="009929E6"/>
    <w:rsid w:val="00992B1C"/>
    <w:rsid w:val="00997FC4"/>
    <w:rsid w:val="009A0F3E"/>
    <w:rsid w:val="009A380E"/>
    <w:rsid w:val="009A3862"/>
    <w:rsid w:val="009A4BF4"/>
    <w:rsid w:val="009A69AF"/>
    <w:rsid w:val="009B0716"/>
    <w:rsid w:val="009B298F"/>
    <w:rsid w:val="009B40B4"/>
    <w:rsid w:val="009B4E16"/>
    <w:rsid w:val="009B591D"/>
    <w:rsid w:val="009B66D6"/>
    <w:rsid w:val="009B689E"/>
    <w:rsid w:val="009B6BC5"/>
    <w:rsid w:val="009C0F5D"/>
    <w:rsid w:val="009C11A2"/>
    <w:rsid w:val="009C20D8"/>
    <w:rsid w:val="009C2A1A"/>
    <w:rsid w:val="009C2AB6"/>
    <w:rsid w:val="009C3D99"/>
    <w:rsid w:val="009C4A7B"/>
    <w:rsid w:val="009C4BD6"/>
    <w:rsid w:val="009C6AFD"/>
    <w:rsid w:val="009C6F9D"/>
    <w:rsid w:val="009C7E67"/>
    <w:rsid w:val="009D0DA1"/>
    <w:rsid w:val="009D3AE8"/>
    <w:rsid w:val="009D3F09"/>
    <w:rsid w:val="009D4718"/>
    <w:rsid w:val="009D4FC9"/>
    <w:rsid w:val="009D557D"/>
    <w:rsid w:val="009D5FFB"/>
    <w:rsid w:val="009D64EC"/>
    <w:rsid w:val="009D72E6"/>
    <w:rsid w:val="009D778C"/>
    <w:rsid w:val="009D7BC0"/>
    <w:rsid w:val="009E1BFB"/>
    <w:rsid w:val="009E2E46"/>
    <w:rsid w:val="009E33C1"/>
    <w:rsid w:val="009E36BE"/>
    <w:rsid w:val="009E5CF0"/>
    <w:rsid w:val="009E6193"/>
    <w:rsid w:val="009E6420"/>
    <w:rsid w:val="009E6B4D"/>
    <w:rsid w:val="009E75F7"/>
    <w:rsid w:val="009F22B6"/>
    <w:rsid w:val="009F4160"/>
    <w:rsid w:val="009F4DE7"/>
    <w:rsid w:val="009F570D"/>
    <w:rsid w:val="009F5DF3"/>
    <w:rsid w:val="009F675F"/>
    <w:rsid w:val="009F74F0"/>
    <w:rsid w:val="009F7EDD"/>
    <w:rsid w:val="00A00BC5"/>
    <w:rsid w:val="00A01545"/>
    <w:rsid w:val="00A029A5"/>
    <w:rsid w:val="00A03558"/>
    <w:rsid w:val="00A03E8E"/>
    <w:rsid w:val="00A04496"/>
    <w:rsid w:val="00A050E8"/>
    <w:rsid w:val="00A05CD6"/>
    <w:rsid w:val="00A05F74"/>
    <w:rsid w:val="00A06A29"/>
    <w:rsid w:val="00A0772D"/>
    <w:rsid w:val="00A103E0"/>
    <w:rsid w:val="00A12345"/>
    <w:rsid w:val="00A13307"/>
    <w:rsid w:val="00A16E26"/>
    <w:rsid w:val="00A171E6"/>
    <w:rsid w:val="00A22745"/>
    <w:rsid w:val="00A22D5F"/>
    <w:rsid w:val="00A23073"/>
    <w:rsid w:val="00A26058"/>
    <w:rsid w:val="00A26B25"/>
    <w:rsid w:val="00A270B7"/>
    <w:rsid w:val="00A273C0"/>
    <w:rsid w:val="00A27FBF"/>
    <w:rsid w:val="00A31C0A"/>
    <w:rsid w:val="00A328B4"/>
    <w:rsid w:val="00A32C5F"/>
    <w:rsid w:val="00A33092"/>
    <w:rsid w:val="00A332AB"/>
    <w:rsid w:val="00A33BB5"/>
    <w:rsid w:val="00A34059"/>
    <w:rsid w:val="00A34882"/>
    <w:rsid w:val="00A351EE"/>
    <w:rsid w:val="00A35D80"/>
    <w:rsid w:val="00A3606B"/>
    <w:rsid w:val="00A360A3"/>
    <w:rsid w:val="00A367D5"/>
    <w:rsid w:val="00A40938"/>
    <w:rsid w:val="00A42CC0"/>
    <w:rsid w:val="00A4494E"/>
    <w:rsid w:val="00A44B6D"/>
    <w:rsid w:val="00A44C4F"/>
    <w:rsid w:val="00A47D5C"/>
    <w:rsid w:val="00A50E3C"/>
    <w:rsid w:val="00A52434"/>
    <w:rsid w:val="00A557BF"/>
    <w:rsid w:val="00A567A3"/>
    <w:rsid w:val="00A5689A"/>
    <w:rsid w:val="00A57334"/>
    <w:rsid w:val="00A57977"/>
    <w:rsid w:val="00A615E8"/>
    <w:rsid w:val="00A62DF3"/>
    <w:rsid w:val="00A62F24"/>
    <w:rsid w:val="00A6661D"/>
    <w:rsid w:val="00A670DB"/>
    <w:rsid w:val="00A67174"/>
    <w:rsid w:val="00A70FF0"/>
    <w:rsid w:val="00A71EA5"/>
    <w:rsid w:val="00A7526F"/>
    <w:rsid w:val="00A7527A"/>
    <w:rsid w:val="00A76DAC"/>
    <w:rsid w:val="00A77CFA"/>
    <w:rsid w:val="00A80F2D"/>
    <w:rsid w:val="00A83863"/>
    <w:rsid w:val="00A84008"/>
    <w:rsid w:val="00A87997"/>
    <w:rsid w:val="00A87E93"/>
    <w:rsid w:val="00A87F8F"/>
    <w:rsid w:val="00A90993"/>
    <w:rsid w:val="00A91BE6"/>
    <w:rsid w:val="00A927C1"/>
    <w:rsid w:val="00A95EF5"/>
    <w:rsid w:val="00AA1E70"/>
    <w:rsid w:val="00AA3517"/>
    <w:rsid w:val="00AA4C23"/>
    <w:rsid w:val="00AA60FC"/>
    <w:rsid w:val="00AA7C3E"/>
    <w:rsid w:val="00AB0350"/>
    <w:rsid w:val="00AB0876"/>
    <w:rsid w:val="00AB0C48"/>
    <w:rsid w:val="00AB2399"/>
    <w:rsid w:val="00AB26D9"/>
    <w:rsid w:val="00AB2951"/>
    <w:rsid w:val="00AB29A2"/>
    <w:rsid w:val="00AB2D09"/>
    <w:rsid w:val="00AB3E2F"/>
    <w:rsid w:val="00AB443E"/>
    <w:rsid w:val="00AB6222"/>
    <w:rsid w:val="00AB6A18"/>
    <w:rsid w:val="00AB6C72"/>
    <w:rsid w:val="00AB6E16"/>
    <w:rsid w:val="00AC05ED"/>
    <w:rsid w:val="00AC2AB7"/>
    <w:rsid w:val="00AC2E85"/>
    <w:rsid w:val="00AC3275"/>
    <w:rsid w:val="00AC51DE"/>
    <w:rsid w:val="00AC67B2"/>
    <w:rsid w:val="00AC6A9B"/>
    <w:rsid w:val="00AC7217"/>
    <w:rsid w:val="00AD1C5D"/>
    <w:rsid w:val="00AD2BF3"/>
    <w:rsid w:val="00AD5D22"/>
    <w:rsid w:val="00AD6F89"/>
    <w:rsid w:val="00AE10E7"/>
    <w:rsid w:val="00AE38E8"/>
    <w:rsid w:val="00AE791A"/>
    <w:rsid w:val="00AE7A2B"/>
    <w:rsid w:val="00AF34F5"/>
    <w:rsid w:val="00AF65D4"/>
    <w:rsid w:val="00B0000D"/>
    <w:rsid w:val="00B00C08"/>
    <w:rsid w:val="00B0244E"/>
    <w:rsid w:val="00B02658"/>
    <w:rsid w:val="00B0277D"/>
    <w:rsid w:val="00B046E9"/>
    <w:rsid w:val="00B04DE0"/>
    <w:rsid w:val="00B06930"/>
    <w:rsid w:val="00B06D99"/>
    <w:rsid w:val="00B1357A"/>
    <w:rsid w:val="00B13AE0"/>
    <w:rsid w:val="00B16E55"/>
    <w:rsid w:val="00B20F1F"/>
    <w:rsid w:val="00B23BE1"/>
    <w:rsid w:val="00B23C2D"/>
    <w:rsid w:val="00B240E2"/>
    <w:rsid w:val="00B24BE4"/>
    <w:rsid w:val="00B25CED"/>
    <w:rsid w:val="00B3202B"/>
    <w:rsid w:val="00B32786"/>
    <w:rsid w:val="00B347BC"/>
    <w:rsid w:val="00B35357"/>
    <w:rsid w:val="00B37716"/>
    <w:rsid w:val="00B37CF4"/>
    <w:rsid w:val="00B41830"/>
    <w:rsid w:val="00B41ABC"/>
    <w:rsid w:val="00B43814"/>
    <w:rsid w:val="00B45522"/>
    <w:rsid w:val="00B466B7"/>
    <w:rsid w:val="00B46FD6"/>
    <w:rsid w:val="00B502A5"/>
    <w:rsid w:val="00B50685"/>
    <w:rsid w:val="00B51D2F"/>
    <w:rsid w:val="00B53D97"/>
    <w:rsid w:val="00B56539"/>
    <w:rsid w:val="00B565FF"/>
    <w:rsid w:val="00B574F5"/>
    <w:rsid w:val="00B62095"/>
    <w:rsid w:val="00B621A5"/>
    <w:rsid w:val="00B64211"/>
    <w:rsid w:val="00B64E08"/>
    <w:rsid w:val="00B65036"/>
    <w:rsid w:val="00B65BD1"/>
    <w:rsid w:val="00B728AD"/>
    <w:rsid w:val="00B72A32"/>
    <w:rsid w:val="00B72E17"/>
    <w:rsid w:val="00B76FA6"/>
    <w:rsid w:val="00B8383A"/>
    <w:rsid w:val="00B83A1A"/>
    <w:rsid w:val="00B843D9"/>
    <w:rsid w:val="00B867B0"/>
    <w:rsid w:val="00B86C7A"/>
    <w:rsid w:val="00B949B7"/>
    <w:rsid w:val="00B9525B"/>
    <w:rsid w:val="00B95BCB"/>
    <w:rsid w:val="00B976C5"/>
    <w:rsid w:val="00BA22CA"/>
    <w:rsid w:val="00BA27FE"/>
    <w:rsid w:val="00BA38C9"/>
    <w:rsid w:val="00BA3A85"/>
    <w:rsid w:val="00BA530B"/>
    <w:rsid w:val="00BA6D6C"/>
    <w:rsid w:val="00BA7721"/>
    <w:rsid w:val="00BA7C45"/>
    <w:rsid w:val="00BB0D31"/>
    <w:rsid w:val="00BB1484"/>
    <w:rsid w:val="00BB2684"/>
    <w:rsid w:val="00BB2A48"/>
    <w:rsid w:val="00BB3C59"/>
    <w:rsid w:val="00BB50BF"/>
    <w:rsid w:val="00BB5F3C"/>
    <w:rsid w:val="00BC3FFD"/>
    <w:rsid w:val="00BC4E01"/>
    <w:rsid w:val="00BC5471"/>
    <w:rsid w:val="00BC59CF"/>
    <w:rsid w:val="00BC5D99"/>
    <w:rsid w:val="00BC6B66"/>
    <w:rsid w:val="00BC7248"/>
    <w:rsid w:val="00BC7EAE"/>
    <w:rsid w:val="00BD0897"/>
    <w:rsid w:val="00BD0D83"/>
    <w:rsid w:val="00BD2688"/>
    <w:rsid w:val="00BD2A22"/>
    <w:rsid w:val="00BD3EC6"/>
    <w:rsid w:val="00BD463C"/>
    <w:rsid w:val="00BE4956"/>
    <w:rsid w:val="00BE6F44"/>
    <w:rsid w:val="00BE70C9"/>
    <w:rsid w:val="00BE7AE9"/>
    <w:rsid w:val="00BF0312"/>
    <w:rsid w:val="00BF1358"/>
    <w:rsid w:val="00BF1751"/>
    <w:rsid w:val="00BF294C"/>
    <w:rsid w:val="00BF2D37"/>
    <w:rsid w:val="00BF3EB0"/>
    <w:rsid w:val="00BF4394"/>
    <w:rsid w:val="00BF5716"/>
    <w:rsid w:val="00BF5E76"/>
    <w:rsid w:val="00BF62F2"/>
    <w:rsid w:val="00BF63B0"/>
    <w:rsid w:val="00C02A92"/>
    <w:rsid w:val="00C0403F"/>
    <w:rsid w:val="00C042CF"/>
    <w:rsid w:val="00C045B4"/>
    <w:rsid w:val="00C04BBC"/>
    <w:rsid w:val="00C04DC8"/>
    <w:rsid w:val="00C0501F"/>
    <w:rsid w:val="00C0505A"/>
    <w:rsid w:val="00C05821"/>
    <w:rsid w:val="00C05D48"/>
    <w:rsid w:val="00C06477"/>
    <w:rsid w:val="00C06927"/>
    <w:rsid w:val="00C07021"/>
    <w:rsid w:val="00C07171"/>
    <w:rsid w:val="00C109AA"/>
    <w:rsid w:val="00C1134A"/>
    <w:rsid w:val="00C11E95"/>
    <w:rsid w:val="00C12524"/>
    <w:rsid w:val="00C141CA"/>
    <w:rsid w:val="00C14855"/>
    <w:rsid w:val="00C14C91"/>
    <w:rsid w:val="00C155F3"/>
    <w:rsid w:val="00C15EA5"/>
    <w:rsid w:val="00C20457"/>
    <w:rsid w:val="00C21E27"/>
    <w:rsid w:val="00C24ACF"/>
    <w:rsid w:val="00C2646A"/>
    <w:rsid w:val="00C27661"/>
    <w:rsid w:val="00C27681"/>
    <w:rsid w:val="00C27C4E"/>
    <w:rsid w:val="00C31EEC"/>
    <w:rsid w:val="00C32742"/>
    <w:rsid w:val="00C34A51"/>
    <w:rsid w:val="00C4086C"/>
    <w:rsid w:val="00C41DC7"/>
    <w:rsid w:val="00C42287"/>
    <w:rsid w:val="00C42B10"/>
    <w:rsid w:val="00C42E8C"/>
    <w:rsid w:val="00C432D7"/>
    <w:rsid w:val="00C43683"/>
    <w:rsid w:val="00C43CB7"/>
    <w:rsid w:val="00C46C0D"/>
    <w:rsid w:val="00C5063B"/>
    <w:rsid w:val="00C539CC"/>
    <w:rsid w:val="00C53CD0"/>
    <w:rsid w:val="00C546B0"/>
    <w:rsid w:val="00C54C82"/>
    <w:rsid w:val="00C54D0C"/>
    <w:rsid w:val="00C55286"/>
    <w:rsid w:val="00C57740"/>
    <w:rsid w:val="00C60FB8"/>
    <w:rsid w:val="00C6162B"/>
    <w:rsid w:val="00C61F54"/>
    <w:rsid w:val="00C628E3"/>
    <w:rsid w:val="00C64856"/>
    <w:rsid w:val="00C64D7A"/>
    <w:rsid w:val="00C6682C"/>
    <w:rsid w:val="00C66FE6"/>
    <w:rsid w:val="00C67869"/>
    <w:rsid w:val="00C67BCE"/>
    <w:rsid w:val="00C67D8F"/>
    <w:rsid w:val="00C702EC"/>
    <w:rsid w:val="00C70545"/>
    <w:rsid w:val="00C7076F"/>
    <w:rsid w:val="00C70901"/>
    <w:rsid w:val="00C70AF2"/>
    <w:rsid w:val="00C71A85"/>
    <w:rsid w:val="00C73B70"/>
    <w:rsid w:val="00C73D92"/>
    <w:rsid w:val="00C757A1"/>
    <w:rsid w:val="00C82E3A"/>
    <w:rsid w:val="00C835D0"/>
    <w:rsid w:val="00C836F5"/>
    <w:rsid w:val="00C85DFB"/>
    <w:rsid w:val="00C86FDE"/>
    <w:rsid w:val="00C87408"/>
    <w:rsid w:val="00C87520"/>
    <w:rsid w:val="00C904B8"/>
    <w:rsid w:val="00C91D6E"/>
    <w:rsid w:val="00C92639"/>
    <w:rsid w:val="00C93DCD"/>
    <w:rsid w:val="00C95D46"/>
    <w:rsid w:val="00C95E7A"/>
    <w:rsid w:val="00C96483"/>
    <w:rsid w:val="00C97B63"/>
    <w:rsid w:val="00CA0C36"/>
    <w:rsid w:val="00CA0FAE"/>
    <w:rsid w:val="00CA1155"/>
    <w:rsid w:val="00CA3FA1"/>
    <w:rsid w:val="00CA4215"/>
    <w:rsid w:val="00CA4935"/>
    <w:rsid w:val="00CA5350"/>
    <w:rsid w:val="00CA5654"/>
    <w:rsid w:val="00CA5FE5"/>
    <w:rsid w:val="00CA6696"/>
    <w:rsid w:val="00CB060D"/>
    <w:rsid w:val="00CB16AD"/>
    <w:rsid w:val="00CB18EE"/>
    <w:rsid w:val="00CB27E4"/>
    <w:rsid w:val="00CB54F3"/>
    <w:rsid w:val="00CB763C"/>
    <w:rsid w:val="00CC063B"/>
    <w:rsid w:val="00CC419C"/>
    <w:rsid w:val="00CC4F5F"/>
    <w:rsid w:val="00CD2431"/>
    <w:rsid w:val="00CD3900"/>
    <w:rsid w:val="00CD5529"/>
    <w:rsid w:val="00CD66F1"/>
    <w:rsid w:val="00CE0AAC"/>
    <w:rsid w:val="00CE167B"/>
    <w:rsid w:val="00CE16F9"/>
    <w:rsid w:val="00CE4043"/>
    <w:rsid w:val="00CE69F0"/>
    <w:rsid w:val="00CE6A95"/>
    <w:rsid w:val="00CE7F70"/>
    <w:rsid w:val="00CF094F"/>
    <w:rsid w:val="00CF370D"/>
    <w:rsid w:val="00CF4EF3"/>
    <w:rsid w:val="00CF665D"/>
    <w:rsid w:val="00D0120D"/>
    <w:rsid w:val="00D02B9F"/>
    <w:rsid w:val="00D056B7"/>
    <w:rsid w:val="00D0606A"/>
    <w:rsid w:val="00D06386"/>
    <w:rsid w:val="00D07618"/>
    <w:rsid w:val="00D13A90"/>
    <w:rsid w:val="00D15EEA"/>
    <w:rsid w:val="00D16370"/>
    <w:rsid w:val="00D206D6"/>
    <w:rsid w:val="00D229C9"/>
    <w:rsid w:val="00D23967"/>
    <w:rsid w:val="00D24637"/>
    <w:rsid w:val="00D27401"/>
    <w:rsid w:val="00D3080D"/>
    <w:rsid w:val="00D31F75"/>
    <w:rsid w:val="00D3227F"/>
    <w:rsid w:val="00D32AFA"/>
    <w:rsid w:val="00D34EC2"/>
    <w:rsid w:val="00D34EF6"/>
    <w:rsid w:val="00D350E6"/>
    <w:rsid w:val="00D35A76"/>
    <w:rsid w:val="00D35D73"/>
    <w:rsid w:val="00D35F2A"/>
    <w:rsid w:val="00D363D4"/>
    <w:rsid w:val="00D3662C"/>
    <w:rsid w:val="00D36740"/>
    <w:rsid w:val="00D40061"/>
    <w:rsid w:val="00D40D1C"/>
    <w:rsid w:val="00D4140D"/>
    <w:rsid w:val="00D41E5E"/>
    <w:rsid w:val="00D4235B"/>
    <w:rsid w:val="00D42963"/>
    <w:rsid w:val="00D4317C"/>
    <w:rsid w:val="00D45240"/>
    <w:rsid w:val="00D453DA"/>
    <w:rsid w:val="00D474EF"/>
    <w:rsid w:val="00D50E76"/>
    <w:rsid w:val="00D527A3"/>
    <w:rsid w:val="00D541A5"/>
    <w:rsid w:val="00D5474C"/>
    <w:rsid w:val="00D55BA9"/>
    <w:rsid w:val="00D56946"/>
    <w:rsid w:val="00D57E37"/>
    <w:rsid w:val="00D604D4"/>
    <w:rsid w:val="00D61D46"/>
    <w:rsid w:val="00D6273A"/>
    <w:rsid w:val="00D631DA"/>
    <w:rsid w:val="00D65935"/>
    <w:rsid w:val="00D66205"/>
    <w:rsid w:val="00D707E4"/>
    <w:rsid w:val="00D709D9"/>
    <w:rsid w:val="00D70ABA"/>
    <w:rsid w:val="00D70F0F"/>
    <w:rsid w:val="00D719AE"/>
    <w:rsid w:val="00D72913"/>
    <w:rsid w:val="00D72FC6"/>
    <w:rsid w:val="00D73BB0"/>
    <w:rsid w:val="00D77352"/>
    <w:rsid w:val="00D81D5E"/>
    <w:rsid w:val="00D82418"/>
    <w:rsid w:val="00D8394B"/>
    <w:rsid w:val="00D8580B"/>
    <w:rsid w:val="00D85E92"/>
    <w:rsid w:val="00D87822"/>
    <w:rsid w:val="00D87A63"/>
    <w:rsid w:val="00D9109E"/>
    <w:rsid w:val="00D91652"/>
    <w:rsid w:val="00D91730"/>
    <w:rsid w:val="00D93AA7"/>
    <w:rsid w:val="00D93FCD"/>
    <w:rsid w:val="00D94047"/>
    <w:rsid w:val="00D95B1F"/>
    <w:rsid w:val="00D95D1B"/>
    <w:rsid w:val="00D95EF0"/>
    <w:rsid w:val="00D96663"/>
    <w:rsid w:val="00D976D2"/>
    <w:rsid w:val="00D97F38"/>
    <w:rsid w:val="00DA08F0"/>
    <w:rsid w:val="00DA2ED9"/>
    <w:rsid w:val="00DA4196"/>
    <w:rsid w:val="00DA574B"/>
    <w:rsid w:val="00DB183E"/>
    <w:rsid w:val="00DB1ED3"/>
    <w:rsid w:val="00DB243C"/>
    <w:rsid w:val="00DB26E4"/>
    <w:rsid w:val="00DB3B91"/>
    <w:rsid w:val="00DB3CA9"/>
    <w:rsid w:val="00DC168A"/>
    <w:rsid w:val="00DC249D"/>
    <w:rsid w:val="00DC2508"/>
    <w:rsid w:val="00DC2F90"/>
    <w:rsid w:val="00DC4C45"/>
    <w:rsid w:val="00DC6003"/>
    <w:rsid w:val="00DD18B6"/>
    <w:rsid w:val="00DD5425"/>
    <w:rsid w:val="00DD5787"/>
    <w:rsid w:val="00DD5955"/>
    <w:rsid w:val="00DD5F44"/>
    <w:rsid w:val="00DE09EC"/>
    <w:rsid w:val="00DE0D69"/>
    <w:rsid w:val="00DE5FE5"/>
    <w:rsid w:val="00DE64CE"/>
    <w:rsid w:val="00DF00A7"/>
    <w:rsid w:val="00DF0728"/>
    <w:rsid w:val="00DF2137"/>
    <w:rsid w:val="00DF4A63"/>
    <w:rsid w:val="00DF4CF3"/>
    <w:rsid w:val="00DF57E4"/>
    <w:rsid w:val="00DF5815"/>
    <w:rsid w:val="00DF79CF"/>
    <w:rsid w:val="00E0034F"/>
    <w:rsid w:val="00E00530"/>
    <w:rsid w:val="00E0346A"/>
    <w:rsid w:val="00E06955"/>
    <w:rsid w:val="00E11D1C"/>
    <w:rsid w:val="00E12DAC"/>
    <w:rsid w:val="00E1585F"/>
    <w:rsid w:val="00E22F2D"/>
    <w:rsid w:val="00E26D16"/>
    <w:rsid w:val="00E3061B"/>
    <w:rsid w:val="00E31864"/>
    <w:rsid w:val="00E351CD"/>
    <w:rsid w:val="00E408D0"/>
    <w:rsid w:val="00E4213A"/>
    <w:rsid w:val="00E42535"/>
    <w:rsid w:val="00E430D7"/>
    <w:rsid w:val="00E434A9"/>
    <w:rsid w:val="00E43713"/>
    <w:rsid w:val="00E43AC3"/>
    <w:rsid w:val="00E43C56"/>
    <w:rsid w:val="00E44BA6"/>
    <w:rsid w:val="00E46147"/>
    <w:rsid w:val="00E46CF1"/>
    <w:rsid w:val="00E50CDB"/>
    <w:rsid w:val="00E50D6C"/>
    <w:rsid w:val="00E51052"/>
    <w:rsid w:val="00E514B4"/>
    <w:rsid w:val="00E5198D"/>
    <w:rsid w:val="00E51B63"/>
    <w:rsid w:val="00E52FA3"/>
    <w:rsid w:val="00E539E8"/>
    <w:rsid w:val="00E541A4"/>
    <w:rsid w:val="00E55107"/>
    <w:rsid w:val="00E55251"/>
    <w:rsid w:val="00E55F5C"/>
    <w:rsid w:val="00E6060B"/>
    <w:rsid w:val="00E616C5"/>
    <w:rsid w:val="00E61ACC"/>
    <w:rsid w:val="00E64C47"/>
    <w:rsid w:val="00E7048E"/>
    <w:rsid w:val="00E70942"/>
    <w:rsid w:val="00E70BC6"/>
    <w:rsid w:val="00E70CA0"/>
    <w:rsid w:val="00E74D79"/>
    <w:rsid w:val="00E754F0"/>
    <w:rsid w:val="00E7604C"/>
    <w:rsid w:val="00E761F2"/>
    <w:rsid w:val="00E76774"/>
    <w:rsid w:val="00E7771E"/>
    <w:rsid w:val="00E77F77"/>
    <w:rsid w:val="00E81837"/>
    <w:rsid w:val="00E84369"/>
    <w:rsid w:val="00E859D1"/>
    <w:rsid w:val="00E90703"/>
    <w:rsid w:val="00E9245A"/>
    <w:rsid w:val="00E96FD4"/>
    <w:rsid w:val="00EA19F6"/>
    <w:rsid w:val="00EA2033"/>
    <w:rsid w:val="00EA2106"/>
    <w:rsid w:val="00EA2696"/>
    <w:rsid w:val="00EA3537"/>
    <w:rsid w:val="00EA3D11"/>
    <w:rsid w:val="00EA449B"/>
    <w:rsid w:val="00EA5C20"/>
    <w:rsid w:val="00EA65E7"/>
    <w:rsid w:val="00EA6BAA"/>
    <w:rsid w:val="00EA76B4"/>
    <w:rsid w:val="00EB0C97"/>
    <w:rsid w:val="00EB1119"/>
    <w:rsid w:val="00EB2E94"/>
    <w:rsid w:val="00EB3E2D"/>
    <w:rsid w:val="00EB4832"/>
    <w:rsid w:val="00EB5B9E"/>
    <w:rsid w:val="00EC0851"/>
    <w:rsid w:val="00EC16F7"/>
    <w:rsid w:val="00EC1D57"/>
    <w:rsid w:val="00EC25CC"/>
    <w:rsid w:val="00EC3005"/>
    <w:rsid w:val="00EC32FE"/>
    <w:rsid w:val="00EC46C0"/>
    <w:rsid w:val="00EC7259"/>
    <w:rsid w:val="00EC73CF"/>
    <w:rsid w:val="00ED0D44"/>
    <w:rsid w:val="00ED16D8"/>
    <w:rsid w:val="00ED199A"/>
    <w:rsid w:val="00ED3FBD"/>
    <w:rsid w:val="00ED45A8"/>
    <w:rsid w:val="00ED65D8"/>
    <w:rsid w:val="00ED7DF5"/>
    <w:rsid w:val="00EE28D1"/>
    <w:rsid w:val="00EE3899"/>
    <w:rsid w:val="00EE524C"/>
    <w:rsid w:val="00EE6D9A"/>
    <w:rsid w:val="00EF04C4"/>
    <w:rsid w:val="00EF1AFA"/>
    <w:rsid w:val="00EF1C7D"/>
    <w:rsid w:val="00EF4B31"/>
    <w:rsid w:val="00EF50ED"/>
    <w:rsid w:val="00EF6674"/>
    <w:rsid w:val="00EF6DA2"/>
    <w:rsid w:val="00F008DD"/>
    <w:rsid w:val="00F00BF6"/>
    <w:rsid w:val="00F00C4D"/>
    <w:rsid w:val="00F02938"/>
    <w:rsid w:val="00F02A6B"/>
    <w:rsid w:val="00F034F3"/>
    <w:rsid w:val="00F037D6"/>
    <w:rsid w:val="00F05C39"/>
    <w:rsid w:val="00F10131"/>
    <w:rsid w:val="00F1385C"/>
    <w:rsid w:val="00F1454D"/>
    <w:rsid w:val="00F15158"/>
    <w:rsid w:val="00F159F8"/>
    <w:rsid w:val="00F170B4"/>
    <w:rsid w:val="00F17B50"/>
    <w:rsid w:val="00F2168F"/>
    <w:rsid w:val="00F2224D"/>
    <w:rsid w:val="00F222CF"/>
    <w:rsid w:val="00F2260D"/>
    <w:rsid w:val="00F22B8C"/>
    <w:rsid w:val="00F23B6B"/>
    <w:rsid w:val="00F23DD0"/>
    <w:rsid w:val="00F24E4E"/>
    <w:rsid w:val="00F25AE7"/>
    <w:rsid w:val="00F2676A"/>
    <w:rsid w:val="00F27411"/>
    <w:rsid w:val="00F30F27"/>
    <w:rsid w:val="00F31852"/>
    <w:rsid w:val="00F31E7F"/>
    <w:rsid w:val="00F321D8"/>
    <w:rsid w:val="00F343A9"/>
    <w:rsid w:val="00F41913"/>
    <w:rsid w:val="00F43DAF"/>
    <w:rsid w:val="00F46648"/>
    <w:rsid w:val="00F51C6A"/>
    <w:rsid w:val="00F5388B"/>
    <w:rsid w:val="00F55D51"/>
    <w:rsid w:val="00F562F2"/>
    <w:rsid w:val="00F56D72"/>
    <w:rsid w:val="00F6027A"/>
    <w:rsid w:val="00F61024"/>
    <w:rsid w:val="00F61F47"/>
    <w:rsid w:val="00F62A0C"/>
    <w:rsid w:val="00F63483"/>
    <w:rsid w:val="00F63485"/>
    <w:rsid w:val="00F65132"/>
    <w:rsid w:val="00F6771D"/>
    <w:rsid w:val="00F704C1"/>
    <w:rsid w:val="00F73083"/>
    <w:rsid w:val="00F75412"/>
    <w:rsid w:val="00F758C9"/>
    <w:rsid w:val="00F764F7"/>
    <w:rsid w:val="00F76FD8"/>
    <w:rsid w:val="00F82FC3"/>
    <w:rsid w:val="00F84306"/>
    <w:rsid w:val="00F84F30"/>
    <w:rsid w:val="00F855F9"/>
    <w:rsid w:val="00F85F21"/>
    <w:rsid w:val="00F872B5"/>
    <w:rsid w:val="00F91048"/>
    <w:rsid w:val="00F91733"/>
    <w:rsid w:val="00F93BA1"/>
    <w:rsid w:val="00F944E5"/>
    <w:rsid w:val="00F94F69"/>
    <w:rsid w:val="00F96821"/>
    <w:rsid w:val="00FA1E91"/>
    <w:rsid w:val="00FA4C22"/>
    <w:rsid w:val="00FA69A3"/>
    <w:rsid w:val="00FA6C69"/>
    <w:rsid w:val="00FB0F04"/>
    <w:rsid w:val="00FB280C"/>
    <w:rsid w:val="00FB314F"/>
    <w:rsid w:val="00FB4972"/>
    <w:rsid w:val="00FB6365"/>
    <w:rsid w:val="00FC1B5B"/>
    <w:rsid w:val="00FC2559"/>
    <w:rsid w:val="00FC38FC"/>
    <w:rsid w:val="00FC55D4"/>
    <w:rsid w:val="00FC570C"/>
    <w:rsid w:val="00FC767E"/>
    <w:rsid w:val="00FC797A"/>
    <w:rsid w:val="00FD1DC2"/>
    <w:rsid w:val="00FD22C3"/>
    <w:rsid w:val="00FD2964"/>
    <w:rsid w:val="00FD3E58"/>
    <w:rsid w:val="00FD3EF3"/>
    <w:rsid w:val="00FD5AAA"/>
    <w:rsid w:val="00FD6A71"/>
    <w:rsid w:val="00FE16F2"/>
    <w:rsid w:val="00FE388A"/>
    <w:rsid w:val="00FE4E2F"/>
    <w:rsid w:val="00FE547D"/>
    <w:rsid w:val="00FF45A9"/>
    <w:rsid w:val="00FF68FA"/>
    <w:rsid w:val="03692D50"/>
    <w:rsid w:val="0835168F"/>
    <w:rsid w:val="11C9C0E4"/>
    <w:rsid w:val="1AF590FA"/>
    <w:rsid w:val="36F5ADCF"/>
    <w:rsid w:val="3CC50141"/>
    <w:rsid w:val="54E17C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4E29F"/>
  <w15:docId w15:val="{09EA14C0-3910-44E2-905F-A81CE3A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1"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4"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qFormat/>
    <w:rsid w:val="005C2239"/>
    <w:pPr>
      <w:keepNext/>
      <w:spacing w:before="480" w:after="0" w:line="240" w:lineRule="auto"/>
      <w:outlineLvl w:val="0"/>
    </w:pPr>
    <w:rPr>
      <w:color w:val="002664"/>
      <w:sz w:val="40"/>
      <w:szCs w:val="60"/>
    </w:rPr>
  </w:style>
  <w:style w:type="paragraph" w:styleId="Heading2">
    <w:name w:val="heading 2"/>
    <w:basedOn w:val="Normal"/>
    <w:next w:val="Normal"/>
    <w:link w:val="Heading2Char"/>
    <w:qFormat/>
    <w:rsid w:val="005C2239"/>
    <w:pPr>
      <w:keepNext/>
      <w:tabs>
        <w:tab w:val="left" w:pos="851"/>
      </w:tabs>
      <w:spacing w:before="400" w:after="200" w:line="240" w:lineRule="auto"/>
      <w:ind w:left="851" w:hanging="851"/>
      <w:outlineLvl w:val="1"/>
    </w:pPr>
    <w:rPr>
      <w:bCs/>
      <w:color w:val="000000"/>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tabs>
        <w:tab w:val="clear" w:pos="714"/>
        <w:tab w:val="num" w:pos="2154"/>
      </w:tabs>
      <w:ind w:left="2154"/>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5C2239"/>
    <w:rPr>
      <w:rFonts w:ascii="Arial" w:hAnsi="Arial"/>
      <w:color w:val="002664"/>
      <w:sz w:val="40"/>
      <w:szCs w:val="60"/>
    </w:rPr>
  </w:style>
  <w:style w:type="character" w:customStyle="1" w:styleId="Heading2Char">
    <w:name w:val="Heading 2 Char"/>
    <w:basedOn w:val="DefaultParagraphFont"/>
    <w:link w:val="Heading2"/>
    <w:rsid w:val="005C2239"/>
    <w:rPr>
      <w:rFonts w:ascii="Arial" w:hAnsi="Arial"/>
      <w:bCs/>
      <w:color w:val="000000"/>
      <w:sz w:val="36"/>
      <w:szCs w:val="40"/>
    </w:rPr>
  </w:style>
  <w:style w:type="character" w:customStyle="1" w:styleId="Heading3Char">
    <w:name w:val="Heading 3 Char"/>
    <w:basedOn w:val="DefaultParagraphFont"/>
    <w:link w:val="Heading3"/>
    <w:uiPriority w:val="1"/>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uiPriority w:val="39"/>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TableHeading">
    <w:name w:val="DFSI Table Heading"/>
    <w:uiPriority w:val="12"/>
    <w:qFormat/>
    <w:rsid w:val="00C4086C"/>
    <w:pPr>
      <w:spacing w:before="100" w:after="100" w:line="240" w:lineRule="auto"/>
    </w:pPr>
    <w:rPr>
      <w:rFonts w:ascii="Arial" w:eastAsia="Times New Roman" w:hAnsi="Arial" w:cs="Times New Roman"/>
      <w:b/>
      <w:sz w:val="20"/>
      <w:szCs w:val="24"/>
    </w:rPr>
  </w:style>
  <w:style w:type="paragraph" w:customStyle="1" w:styleId="DFSITableText">
    <w:name w:val="DFSI Table Text"/>
    <w:uiPriority w:val="14"/>
    <w:qFormat/>
    <w:rsid w:val="00C4086C"/>
    <w:pPr>
      <w:spacing w:before="100" w:after="100" w:line="240" w:lineRule="auto"/>
    </w:pPr>
    <w:rPr>
      <w:rFonts w:ascii="Arial" w:eastAsia="Times New Roman" w:hAnsi="Arial" w:cs="Arial"/>
      <w:sz w:val="20"/>
      <w:szCs w:val="20"/>
    </w:rPr>
  </w:style>
  <w:style w:type="character" w:styleId="CommentReference">
    <w:name w:val="annotation reference"/>
    <w:basedOn w:val="DefaultParagraphFont"/>
    <w:semiHidden/>
    <w:unhideWhenUsed/>
    <w:rsid w:val="00C4086C"/>
    <w:rPr>
      <w:sz w:val="16"/>
      <w:szCs w:val="16"/>
    </w:rPr>
  </w:style>
  <w:style w:type="paragraph" w:styleId="CommentText">
    <w:name w:val="annotation text"/>
    <w:basedOn w:val="Normal"/>
    <w:link w:val="CommentTextChar"/>
    <w:unhideWhenUsed/>
    <w:rsid w:val="00C4086C"/>
    <w:pPr>
      <w:spacing w:line="240" w:lineRule="auto"/>
    </w:pPr>
    <w:rPr>
      <w:sz w:val="20"/>
      <w:szCs w:val="20"/>
    </w:rPr>
  </w:style>
  <w:style w:type="character" w:customStyle="1" w:styleId="CommentTextChar">
    <w:name w:val="Comment Text Char"/>
    <w:basedOn w:val="DefaultParagraphFont"/>
    <w:link w:val="CommentText"/>
    <w:rsid w:val="00C4086C"/>
    <w:rPr>
      <w:rFonts w:ascii="Arial" w:hAnsi="Arial"/>
      <w:sz w:val="20"/>
      <w:szCs w:val="20"/>
    </w:rPr>
  </w:style>
  <w:style w:type="character" w:styleId="UnresolvedMention">
    <w:name w:val="Unresolved Mention"/>
    <w:basedOn w:val="DefaultParagraphFont"/>
    <w:uiPriority w:val="99"/>
    <w:unhideWhenUsed/>
    <w:rsid w:val="00BC4E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5874"/>
    <w:rPr>
      <w:b/>
      <w:bCs/>
    </w:rPr>
  </w:style>
  <w:style w:type="character" w:customStyle="1" w:styleId="CommentSubjectChar">
    <w:name w:val="Comment Subject Char"/>
    <w:basedOn w:val="CommentTextChar"/>
    <w:link w:val="CommentSubject"/>
    <w:uiPriority w:val="99"/>
    <w:semiHidden/>
    <w:rsid w:val="00275874"/>
    <w:rPr>
      <w:rFonts w:ascii="Arial" w:hAnsi="Arial"/>
      <w:b/>
      <w:bCs/>
      <w:sz w:val="20"/>
      <w:szCs w:val="20"/>
    </w:rPr>
  </w:style>
  <w:style w:type="paragraph" w:customStyle="1" w:styleId="DFSITableBodyText">
    <w:name w:val="DFSI Table Body Text"/>
    <w:uiPriority w:val="13"/>
    <w:qFormat/>
    <w:rsid w:val="00B76FA6"/>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DFSIBodyText">
    <w:name w:val="DFSI Body Text"/>
    <w:link w:val="DFSIBodyTextChar"/>
    <w:uiPriority w:val="6"/>
    <w:qFormat/>
    <w:rsid w:val="004821E5"/>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4821E5"/>
    <w:rPr>
      <w:rFonts w:ascii="Arial" w:eastAsia="Times New Roman" w:hAnsi="Arial" w:cs="Times New Roman"/>
      <w:szCs w:val="24"/>
    </w:rPr>
  </w:style>
  <w:style w:type="paragraph" w:customStyle="1" w:styleId="Clausenumber">
    <w:name w:val="Clause number"/>
    <w:basedOn w:val="Normal"/>
    <w:qFormat/>
    <w:rsid w:val="00FF45A9"/>
    <w:pPr>
      <w:numPr>
        <w:ilvl w:val="1"/>
        <w:numId w:val="5"/>
      </w:numPr>
      <w:tabs>
        <w:tab w:val="left" w:pos="720"/>
      </w:tabs>
      <w:spacing w:before="0" w:after="0" w:line="240" w:lineRule="auto"/>
      <w:jc w:val="both"/>
    </w:pPr>
    <w:rPr>
      <w:rFonts w:eastAsia="Times New Roman" w:cs="Arial"/>
    </w:rPr>
  </w:style>
  <w:style w:type="paragraph" w:customStyle="1" w:styleId="ClauseHeading">
    <w:name w:val="Clause Heading"/>
    <w:basedOn w:val="Heading2"/>
    <w:qFormat/>
    <w:rsid w:val="00FF45A9"/>
    <w:pPr>
      <w:numPr>
        <w:numId w:val="5"/>
      </w:numPr>
      <w:tabs>
        <w:tab w:val="left" w:pos="720"/>
      </w:tabs>
      <w:spacing w:before="0" w:after="0"/>
    </w:pPr>
    <w:rPr>
      <w:rFonts w:eastAsia="Times New Roman" w:cs="Arial"/>
      <w:b/>
      <w:color w:val="auto"/>
      <w:sz w:val="22"/>
      <w:szCs w:val="24"/>
    </w:rPr>
  </w:style>
  <w:style w:type="character" w:customStyle="1" w:styleId="ListParagraphChar">
    <w:name w:val="List Paragraph Char"/>
    <w:aliases w:val="List 1 Paragraph Char,Rpt bullet 1 Char,Rpt Bullet 2 Char,Bullet List Paragraph Char,Recommendation Char"/>
    <w:basedOn w:val="DefaultParagraphFont"/>
    <w:link w:val="ListParagraph"/>
    <w:uiPriority w:val="34"/>
    <w:locked/>
    <w:rsid w:val="00492E80"/>
    <w:rPr>
      <w:rFonts w:ascii="Arial" w:hAnsi="Arial"/>
    </w:rPr>
  </w:style>
  <w:style w:type="paragraph" w:customStyle="1" w:styleId="DFSIBullet">
    <w:name w:val="DFSI Bullet"/>
    <w:link w:val="DFSIBulletChar"/>
    <w:autoRedefine/>
    <w:uiPriority w:val="7"/>
    <w:qFormat/>
    <w:rsid w:val="0016508F"/>
    <w:pPr>
      <w:tabs>
        <w:tab w:val="left" w:pos="1276"/>
      </w:tabs>
      <w:spacing w:before="60" w:after="120" w:line="276" w:lineRule="auto"/>
      <w:ind w:left="720"/>
    </w:pPr>
    <w:rPr>
      <w:rFonts w:ascii="Arial" w:eastAsiaTheme="minorEastAsia" w:hAnsi="Arial" w:cs="Arial"/>
      <w:color w:val="2C2B2B" w:themeColor="text1"/>
      <w:sz w:val="20"/>
      <w:szCs w:val="24"/>
      <w:lang w:val="en-US"/>
    </w:rPr>
  </w:style>
  <w:style w:type="character" w:customStyle="1" w:styleId="DFSIBulletChar">
    <w:name w:val="DFSI Bullet Char"/>
    <w:link w:val="DFSIBullet"/>
    <w:uiPriority w:val="7"/>
    <w:rsid w:val="0016508F"/>
    <w:rPr>
      <w:rFonts w:ascii="Arial" w:eastAsiaTheme="minorEastAsia" w:hAnsi="Arial" w:cs="Arial"/>
      <w:color w:val="2C2B2B" w:themeColor="text1"/>
      <w:sz w:val="20"/>
      <w:szCs w:val="24"/>
      <w:lang w:val="en-US"/>
    </w:rPr>
  </w:style>
  <w:style w:type="character" w:styleId="Mention">
    <w:name w:val="Mention"/>
    <w:basedOn w:val="DefaultParagraphFont"/>
    <w:uiPriority w:val="99"/>
    <w:unhideWhenUsed/>
    <w:rsid w:val="00EE524C"/>
    <w:rPr>
      <w:color w:val="2B579A"/>
      <w:shd w:val="clear" w:color="auto" w:fill="E1DFDD"/>
    </w:rPr>
  </w:style>
  <w:style w:type="paragraph" w:customStyle="1" w:styleId="DFSIBullet2">
    <w:name w:val="DFSI Bullet 2"/>
    <w:basedOn w:val="DFSIBullet"/>
    <w:link w:val="DFSIBullet2Char"/>
    <w:autoRedefine/>
    <w:qFormat/>
    <w:rsid w:val="00CC4F5F"/>
    <w:pPr>
      <w:numPr>
        <w:ilvl w:val="1"/>
        <w:numId w:val="8"/>
      </w:numPr>
      <w:tabs>
        <w:tab w:val="clear" w:pos="1276"/>
        <w:tab w:val="left" w:pos="1560"/>
      </w:tabs>
      <w:spacing w:line="240" w:lineRule="auto"/>
    </w:pPr>
  </w:style>
  <w:style w:type="character" w:customStyle="1" w:styleId="DFSIBullet2Char">
    <w:name w:val="DFSI Bullet 2 Char"/>
    <w:basedOn w:val="DFSIBulletChar"/>
    <w:link w:val="DFSIBullet2"/>
    <w:rsid w:val="00CC4F5F"/>
    <w:rPr>
      <w:rFonts w:ascii="Arial" w:eastAsiaTheme="minorEastAsia" w:hAnsi="Arial" w:cs="Arial"/>
      <w:color w:val="2C2B2B" w:themeColor="text1"/>
      <w:sz w:val="20"/>
      <w:szCs w:val="24"/>
      <w:lang w:val="en-US"/>
    </w:rPr>
  </w:style>
  <w:style w:type="paragraph" w:customStyle="1" w:styleId="Bulletpoints">
    <w:name w:val="Bullet points"/>
    <w:basedOn w:val="Normal"/>
    <w:qFormat/>
    <w:rsid w:val="009F4DE7"/>
    <w:pPr>
      <w:numPr>
        <w:numId w:val="9"/>
      </w:numPr>
      <w:tabs>
        <w:tab w:val="num" w:pos="709"/>
      </w:tabs>
      <w:spacing w:before="180" w:after="180" w:line="288" w:lineRule="auto"/>
    </w:pPr>
    <w:rPr>
      <w:rFonts w:eastAsia="Times New Roman" w:cs="Arial"/>
    </w:rPr>
  </w:style>
  <w:style w:type="paragraph" w:customStyle="1" w:styleId="Bullet2">
    <w:name w:val="Bullet 2"/>
    <w:basedOn w:val="Bulletpoints"/>
    <w:qFormat/>
    <w:rsid w:val="009F4DE7"/>
    <w:pPr>
      <w:numPr>
        <w:ilvl w:val="1"/>
      </w:numPr>
      <w:tabs>
        <w:tab w:val="num" w:pos="709"/>
      </w:tabs>
    </w:pPr>
  </w:style>
  <w:style w:type="character" w:styleId="Emphasis">
    <w:name w:val="Emphasis"/>
    <w:basedOn w:val="DefaultParagraphFont"/>
    <w:uiPriority w:val="20"/>
    <w:qFormat/>
    <w:rsid w:val="00F037D6"/>
    <w:rPr>
      <w:i/>
      <w:iCs/>
    </w:rPr>
  </w:style>
  <w:style w:type="paragraph" w:styleId="NormalWeb">
    <w:name w:val="Normal (Web)"/>
    <w:basedOn w:val="Normal"/>
    <w:uiPriority w:val="99"/>
    <w:unhideWhenUsed/>
    <w:rsid w:val="004A0F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A0F49"/>
  </w:style>
  <w:style w:type="paragraph" w:styleId="ListNumber2">
    <w:name w:val="List Number 2"/>
    <w:uiPriority w:val="10"/>
    <w:qFormat/>
    <w:rsid w:val="00A0772D"/>
    <w:pPr>
      <w:tabs>
        <w:tab w:val="num" w:pos="2154"/>
      </w:tabs>
      <w:suppressAutoHyphens/>
      <w:spacing w:before="120" w:after="120" w:line="240" w:lineRule="auto"/>
      <w:ind w:left="2154" w:hanging="357"/>
    </w:pPr>
    <w:rPr>
      <w:rFonts w:eastAsia="Arial" w:cs="Times New Roman"/>
      <w:color w:val="2C2B2B" w:themeColor="text1"/>
      <w:szCs w:val="24"/>
    </w:rPr>
  </w:style>
  <w:style w:type="paragraph" w:styleId="BodyText">
    <w:name w:val="Body Text"/>
    <w:link w:val="BodyTextChar"/>
    <w:uiPriority w:val="4"/>
    <w:qFormat/>
    <w:rsid w:val="00CF4EF3"/>
    <w:pPr>
      <w:tabs>
        <w:tab w:val="left" w:pos="357"/>
        <w:tab w:val="left" w:pos="714"/>
        <w:tab w:val="left" w:pos="2552"/>
      </w:tabs>
      <w:suppressAutoHyphens/>
      <w:spacing w:before="120" w:after="120" w:line="240" w:lineRule="auto"/>
    </w:pPr>
    <w:rPr>
      <w:rFonts w:eastAsiaTheme="minorEastAsia"/>
      <w:color w:val="2C2B2B" w:themeColor="text1"/>
      <w:lang w:eastAsia="zh-CN"/>
    </w:rPr>
  </w:style>
  <w:style w:type="character" w:customStyle="1" w:styleId="BodyTextChar">
    <w:name w:val="Body Text Char"/>
    <w:basedOn w:val="DefaultParagraphFont"/>
    <w:link w:val="BodyText"/>
    <w:uiPriority w:val="4"/>
    <w:rsid w:val="00CF4EF3"/>
    <w:rPr>
      <w:rFonts w:eastAsiaTheme="minorEastAsia"/>
      <w:color w:val="2C2B2B" w:themeColor="text1"/>
      <w:lang w:eastAsia="zh-CN"/>
    </w:rPr>
  </w:style>
  <w:style w:type="paragraph" w:styleId="ListBullet2">
    <w:name w:val="List Bullet 2"/>
    <w:uiPriority w:val="10"/>
    <w:qFormat/>
    <w:rsid w:val="00020559"/>
    <w:pPr>
      <w:tabs>
        <w:tab w:val="num" w:pos="714"/>
      </w:tabs>
      <w:suppressAutoHyphens/>
      <w:spacing w:before="120" w:after="120" w:line="240" w:lineRule="auto"/>
      <w:ind w:left="714" w:hanging="357"/>
    </w:pPr>
    <w:rPr>
      <w:rFonts w:eastAsia="Arial" w:cs="ArialMT"/>
      <w:color w:val="2C2B2B" w:themeColor="text1"/>
      <w:szCs w:val="24"/>
    </w:rPr>
  </w:style>
  <w:style w:type="character" w:customStyle="1" w:styleId="normaltextrun">
    <w:name w:val="normaltextrun"/>
    <w:basedOn w:val="DefaultParagraphFont"/>
    <w:rsid w:val="00570687"/>
  </w:style>
  <w:style w:type="character" w:customStyle="1" w:styleId="eop">
    <w:name w:val="eop"/>
    <w:basedOn w:val="DefaultParagraphFont"/>
    <w:rsid w:val="00570687"/>
  </w:style>
  <w:style w:type="paragraph" w:styleId="Revision">
    <w:name w:val="Revision"/>
    <w:hidden/>
    <w:uiPriority w:val="99"/>
    <w:semiHidden/>
    <w:rsid w:val="002A791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411">
      <w:bodyDiv w:val="1"/>
      <w:marLeft w:val="0"/>
      <w:marRight w:val="0"/>
      <w:marTop w:val="0"/>
      <w:marBottom w:val="0"/>
      <w:divBdr>
        <w:top w:val="none" w:sz="0" w:space="0" w:color="auto"/>
        <w:left w:val="none" w:sz="0" w:space="0" w:color="auto"/>
        <w:bottom w:val="none" w:sz="0" w:space="0" w:color="auto"/>
        <w:right w:val="none" w:sz="0" w:space="0" w:color="auto"/>
      </w:divBdr>
    </w:div>
    <w:div w:id="356395049">
      <w:bodyDiv w:val="1"/>
      <w:marLeft w:val="0"/>
      <w:marRight w:val="0"/>
      <w:marTop w:val="0"/>
      <w:marBottom w:val="0"/>
      <w:divBdr>
        <w:top w:val="none" w:sz="0" w:space="0" w:color="auto"/>
        <w:left w:val="none" w:sz="0" w:space="0" w:color="auto"/>
        <w:bottom w:val="none" w:sz="0" w:space="0" w:color="auto"/>
        <w:right w:val="none" w:sz="0" w:space="0" w:color="auto"/>
      </w:divBdr>
    </w:div>
    <w:div w:id="483862797">
      <w:bodyDiv w:val="1"/>
      <w:marLeft w:val="0"/>
      <w:marRight w:val="0"/>
      <w:marTop w:val="0"/>
      <w:marBottom w:val="0"/>
      <w:divBdr>
        <w:top w:val="none" w:sz="0" w:space="0" w:color="auto"/>
        <w:left w:val="none" w:sz="0" w:space="0" w:color="auto"/>
        <w:bottom w:val="none" w:sz="0" w:space="0" w:color="auto"/>
        <w:right w:val="none" w:sz="0" w:space="0" w:color="auto"/>
      </w:divBdr>
    </w:div>
    <w:div w:id="576282499">
      <w:bodyDiv w:val="1"/>
      <w:marLeft w:val="0"/>
      <w:marRight w:val="0"/>
      <w:marTop w:val="0"/>
      <w:marBottom w:val="0"/>
      <w:divBdr>
        <w:top w:val="none" w:sz="0" w:space="0" w:color="auto"/>
        <w:left w:val="none" w:sz="0" w:space="0" w:color="auto"/>
        <w:bottom w:val="none" w:sz="0" w:space="0" w:color="auto"/>
        <w:right w:val="none" w:sz="0" w:space="0" w:color="auto"/>
      </w:divBdr>
    </w:div>
    <w:div w:id="670914112">
      <w:bodyDiv w:val="1"/>
      <w:marLeft w:val="0"/>
      <w:marRight w:val="0"/>
      <w:marTop w:val="0"/>
      <w:marBottom w:val="0"/>
      <w:divBdr>
        <w:top w:val="none" w:sz="0" w:space="0" w:color="auto"/>
        <w:left w:val="none" w:sz="0" w:space="0" w:color="auto"/>
        <w:bottom w:val="none" w:sz="0" w:space="0" w:color="auto"/>
        <w:right w:val="none" w:sz="0" w:space="0" w:color="auto"/>
      </w:divBdr>
    </w:div>
    <w:div w:id="198103043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buy.nsw.gov.au/" TargetMode="External"/><Relationship Id="rId26" Type="http://schemas.openxmlformats.org/officeDocument/2006/relationships/hyperlink" Target="https://buy.nsw.gov.au/buyer-guidance/plan/approach-the-market" TargetMode="External"/><Relationship Id="rId39" Type="http://schemas.openxmlformats.org/officeDocument/2006/relationships/hyperlink" Target="https://www.legislation.nsw.gov.au/view/html/inforce/current/act-2018-030" TargetMode="External"/><Relationship Id="rId21" Type="http://schemas.openxmlformats.org/officeDocument/2006/relationships/header" Target="header2.xml"/><Relationship Id="rId34" Type="http://schemas.openxmlformats.org/officeDocument/2006/relationships/hyperlink" Target="https://buy.nsw.gov.au/policy-library/policies/supplier-code-of-conduct" TargetMode="External"/><Relationship Id="rId42" Type="http://schemas.openxmlformats.org/officeDocument/2006/relationships/hyperlink" Target="https://buy.nsw.gov.au/resources/modern-slavery-and-procurement" TargetMode="External"/><Relationship Id="rId47" Type="http://schemas.openxmlformats.org/officeDocument/2006/relationships/header" Target="header3.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uppliers.buy.nsw.gov.au/" TargetMode="External"/><Relationship Id="rId29" Type="http://schemas.openxmlformats.org/officeDocument/2006/relationships/hyperlink" Target="mailto:NSWGFleetElectrification@treasury.nsw.gov.au" TargetMode="External"/><Relationship Id="rId11" Type="http://schemas.openxmlformats.org/officeDocument/2006/relationships/endnotes" Target="endnotes.xml"/><Relationship Id="rId24" Type="http://schemas.openxmlformats.org/officeDocument/2006/relationships/hyperlink" Target="https://buy.nsw.gov.au/buyer-guidance" TargetMode="External"/><Relationship Id="rId32" Type="http://schemas.openxmlformats.org/officeDocument/2006/relationships/hyperlink" Target="https://buy.nsw.gov.au/policy-library/policy-library-search?form=wrapper&amp;f.Policy+Type%7CPolicyType=board+directions&amp;query=&amp;profile=_default&amp;show=true&amp;action=557003&amp;clive=procurement-nsw-library-web&amp;collection=procurement-nsw-meta&amp;sort=" TargetMode="External"/><Relationship Id="rId37" Type="http://schemas.openxmlformats.org/officeDocument/2006/relationships/hyperlink" Target="https://arp.nsw.gov.au/pbd-2019-03-construction-procurement-opportunities-SME" TargetMode="External"/><Relationship Id="rId40" Type="http://schemas.openxmlformats.org/officeDocument/2006/relationships/hyperlink" Target="https://www.legislation.gov.au/Details/C2018A00153" TargetMode="External"/><Relationship Id="rId45" Type="http://schemas.openxmlformats.org/officeDocument/2006/relationships/hyperlink" Target="https://buy.nsw.gov.au/policy-library/policies/procurement-policy-framework"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legislation.nsw.gov.au/" TargetMode="External"/><Relationship Id="rId44" Type="http://schemas.openxmlformats.org/officeDocument/2006/relationships/hyperlink" Target="https://buy.nsw.gov.au/policy-library/procurement-board-directions/pbd-2019-05-enforceable-procurement-provisions"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tenders.nsw.gov.au/?event=admin.login" TargetMode="External"/><Relationship Id="rId30" Type="http://schemas.openxmlformats.org/officeDocument/2006/relationships/hyperlink" Target="https://buy.nsw.gov.au/policy-library/policies/procurement-policy-framework" TargetMode="External"/><Relationship Id="rId35" Type="http://schemas.openxmlformats.org/officeDocument/2006/relationships/hyperlink" Target="https://www.industrialrelations.nsw.gov.au/industries/key-industries-in-nsw/building-and-construction/" TargetMode="External"/><Relationship Id="rId43" Type="http://schemas.openxmlformats.org/officeDocument/2006/relationships/hyperlink" Target="https://buy.nsw.gov.au/buyer-guidance/source/select-suppliers/australian-disability-enterprises" TargetMode="External"/><Relationship Id="rId48"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NSWGFleetElectrification@treasury.nsw.gov.au" TargetMode="External"/><Relationship Id="rId25" Type="http://schemas.openxmlformats.org/officeDocument/2006/relationships/hyperlink" Target="https://suppliers.buy.nsw.gov.au/" TargetMode="External"/><Relationship Id="rId33" Type="http://schemas.openxmlformats.org/officeDocument/2006/relationships/hyperlink" Target="https://buy.nsw.gov.au/policy-library/policies/enforceable-procurement-provisions" TargetMode="External"/><Relationship Id="rId38" Type="http://schemas.openxmlformats.org/officeDocument/2006/relationships/hyperlink" Target="https://buy.nsw.gov.au/policy-library/policies/aboriginal-participation-construction" TargetMode="External"/><Relationship Id="rId46" Type="http://schemas.openxmlformats.org/officeDocument/2006/relationships/hyperlink" Target="https://buy.nsw.gov.au/policy-library/policies/supplier-code-of-conduct" TargetMode="External"/><Relationship Id="rId20" Type="http://schemas.openxmlformats.org/officeDocument/2006/relationships/footer" Target="footer2.xml"/><Relationship Id="rId41" Type="http://schemas.openxmlformats.org/officeDocument/2006/relationships/hyperlink" Target="https://www.legislation.nsw.gov.au/view/html/inforce/current/act-2018-03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o.buy.nsw.gov.au/schemes/ev-charging-infrastructure-scheme" TargetMode="External"/><Relationship Id="rId23" Type="http://schemas.openxmlformats.org/officeDocument/2006/relationships/hyperlink" Target="https://aus01.safelinks.protection.outlook.com/?url=https%3A%2F%2Fbuy.nsw.gov.au%2Fpolicy-library%2Fprocurement-board-directions%2Fpbd-2019-05-enforceable-procurement-provisions&amp;data=05%7C01%7CGordon.Ristevski%40treasury.nsw.gov.au%7Cb7bd1743a5d846009ec508dac2e00ce3%7C1ef97a68e8ab44eda16db579fe2d7cd8%7C0%7C0%7C638036564788718126%7CUnknown%7CTWFpbGZsb3d8eyJWIjoiMC4wLjAwMDAiLCJQIjoiV2luMzIiLCJBTiI6Ik1haWwiLCJXVCI6Mn0%3D%7C3000%7C%7C%7C&amp;sdata=o3fSEzHpYl6O4SRP4pmlTjw%2FKfnpyJbLIhLZsvYArjI%3D&amp;reserved=0" TargetMode="External"/><Relationship Id="rId28" Type="http://schemas.openxmlformats.org/officeDocument/2006/relationships/hyperlink" Target="https://www.abr.business.gov.au/" TargetMode="External"/><Relationship Id="rId36" Type="http://schemas.openxmlformats.org/officeDocument/2006/relationships/hyperlink" Target="https://www.procurepoint.nsw.gov.au/policy-and-reform/goods-and-services-procurement-policies/nsw-government-small-and-medium-enterprise" TargetMode="External"/><Relationship Id="rId4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ACE3E17A04F643918E89D79FCB912EBF"/>
        <w:category>
          <w:name w:val="General"/>
          <w:gallery w:val="placeholder"/>
        </w:category>
        <w:types>
          <w:type w:val="bbPlcHdr"/>
        </w:types>
        <w:behaviors>
          <w:behavior w:val="content"/>
        </w:behaviors>
        <w:guid w:val="{009C08EF-6687-4078-B553-D552DB1C3B51}"/>
      </w:docPartPr>
      <w:docPartBody>
        <w:p w:rsidR="003A7B80" w:rsidRDefault="009970B5">
          <w:pPr>
            <w:pStyle w:val="ACE3E17A04F643918E89D79FCB912EBF"/>
          </w:pPr>
          <w:r>
            <w:t xml:space="preserve">Discussion paper </w:t>
          </w:r>
          <w:r w:rsidRPr="00203F1A">
            <w:t>title</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D8226E2BF46E470FA816A1469882932A"/>
        <w:category>
          <w:name w:val="General"/>
          <w:gallery w:val="placeholder"/>
        </w:category>
        <w:types>
          <w:type w:val="bbPlcHdr"/>
        </w:types>
        <w:behaviors>
          <w:behavior w:val="content"/>
        </w:behaviors>
        <w:guid w:val="{761E4D82-D79B-4964-B8DB-95A4F610640E}"/>
      </w:docPartPr>
      <w:docPartBody>
        <w:p w:rsidR="003A7B80" w:rsidRDefault="009970B5">
          <w:pPr>
            <w:pStyle w:val="D8226E2BF46E470FA816A1469882932A"/>
          </w:pPr>
          <w:r w:rsidRPr="00AC7217">
            <w:rPr>
              <w:color w:val="44546A" w:themeColor="text2"/>
            </w:rPr>
            <w:t>[Main title]</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5"/>
    <w:rsid w:val="00017B7F"/>
    <w:rsid w:val="00044E2A"/>
    <w:rsid w:val="00083BC4"/>
    <w:rsid w:val="0009532D"/>
    <w:rsid w:val="00124B7D"/>
    <w:rsid w:val="0017014A"/>
    <w:rsid w:val="00197C7F"/>
    <w:rsid w:val="001A054D"/>
    <w:rsid w:val="001E0D09"/>
    <w:rsid w:val="0028434B"/>
    <w:rsid w:val="002B359E"/>
    <w:rsid w:val="00336F9D"/>
    <w:rsid w:val="003A7B80"/>
    <w:rsid w:val="003B7AC5"/>
    <w:rsid w:val="00470535"/>
    <w:rsid w:val="004F4328"/>
    <w:rsid w:val="00502DC2"/>
    <w:rsid w:val="0059347E"/>
    <w:rsid w:val="005A08E4"/>
    <w:rsid w:val="005F742F"/>
    <w:rsid w:val="00634E49"/>
    <w:rsid w:val="00637599"/>
    <w:rsid w:val="006706B2"/>
    <w:rsid w:val="006E0442"/>
    <w:rsid w:val="0071368C"/>
    <w:rsid w:val="0072185A"/>
    <w:rsid w:val="00827829"/>
    <w:rsid w:val="00974BEC"/>
    <w:rsid w:val="009970B5"/>
    <w:rsid w:val="009D7A42"/>
    <w:rsid w:val="00A17D84"/>
    <w:rsid w:val="00A50685"/>
    <w:rsid w:val="00A7241A"/>
    <w:rsid w:val="00B726C9"/>
    <w:rsid w:val="00C93D85"/>
    <w:rsid w:val="00D67A34"/>
    <w:rsid w:val="00E039EA"/>
    <w:rsid w:val="00E609E5"/>
    <w:rsid w:val="00E71575"/>
    <w:rsid w:val="00E71C22"/>
    <w:rsid w:val="00F57F0F"/>
    <w:rsid w:val="00F800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9E5"/>
    <w:rPr>
      <w:color w:val="808080"/>
    </w:rPr>
  </w:style>
  <w:style w:type="paragraph" w:customStyle="1" w:styleId="7D4391CE999144E2BBBAD426FB047B68">
    <w:name w:val="7D4391CE999144E2BBBAD426FB047B68"/>
  </w:style>
  <w:style w:type="paragraph" w:customStyle="1" w:styleId="ACE3E17A04F643918E89D79FCB912EBF">
    <w:name w:val="ACE3E17A04F643918E89D79FCB912EBF"/>
  </w:style>
  <w:style w:type="paragraph" w:customStyle="1" w:styleId="C0F0B243A2084E998024169EFDF5798B">
    <w:name w:val="C0F0B243A2084E998024169EFDF5798B"/>
  </w:style>
  <w:style w:type="paragraph" w:customStyle="1" w:styleId="D8226E2BF46E470FA816A1469882932A">
    <w:name w:val="D8226E2BF46E470FA816A1469882932A"/>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SCM13381 Agency Guidelines</DocTitle>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ct:contentTypeSchema xmlns:ct="http://schemas.microsoft.com/office/2006/metadata/contentType" xmlns:ma="http://schemas.microsoft.com/office/2006/metadata/properties/metaAttributes" ct:_="" ma:_="" ma:contentTypeName="Document" ma:contentTypeID="0x010100F2DC9EDC2A3F584A953B234FDC807CBC" ma:contentTypeVersion="6" ma:contentTypeDescription="Create a new document." ma:contentTypeScope="" ma:versionID="7d4eba2927da5ebae820170e23d83b56">
  <xsd:schema xmlns:xsd="http://www.w3.org/2001/XMLSchema" xmlns:xs="http://www.w3.org/2001/XMLSchema" xmlns:p="http://schemas.microsoft.com/office/2006/metadata/properties" xmlns:ns2="bf60b147-b669-491e-924a-3e0dc0e597ff" xmlns:ns3="f61ad96d-ce63-46d8-91be-b5d657bdd158" targetNamespace="http://schemas.microsoft.com/office/2006/metadata/properties" ma:root="true" ma:fieldsID="1311c46443f15d85ec9ff4c76b7c0e2f" ns2:_="" ns3:_="">
    <xsd:import namespace="bf60b147-b669-491e-924a-3e0dc0e597ff"/>
    <xsd:import namespace="f61ad96d-ce63-46d8-91be-b5d657bdd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147-b669-491e-924a-3e0dc0e59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ad96d-ce63-46d8-91be-b5d657bd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76F60-2A7C-40B6-BE67-632280101781}">
  <ds:schemaRefs>
    <ds:schemaRef ds:uri="http://schemas.microsoft.com/sharepoint/v3/contenttype/forms"/>
  </ds:schemaRefs>
</ds:datastoreItem>
</file>

<file path=customXml/itemProps2.xml><?xml version="1.0" encoding="utf-8"?>
<ds:datastoreItem xmlns:ds="http://schemas.openxmlformats.org/officeDocument/2006/customXml" ds:itemID="{43B4E9F6-ED2B-48E0-A537-1788263DD7E5}">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bf60b147-b669-491e-924a-3e0dc0e597ff"/>
    <ds:schemaRef ds:uri="http://schemas.microsoft.com/office/infopath/2007/PartnerControls"/>
    <ds:schemaRef ds:uri="f61ad96d-ce63-46d8-91be-b5d657bdd158"/>
    <ds:schemaRef ds:uri="http://www.w3.org/XML/1998/namespace"/>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582FB05F-E5FE-4578-BD69-ACD21831F46B}">
  <ds:schemaRefs>
    <ds:schemaRef ds:uri="http://schemas.openxmlformats.org/officeDocument/2006/bibliography"/>
  </ds:schemaRefs>
</ds:datastoreItem>
</file>

<file path=customXml/itemProps5.xml><?xml version="1.0" encoding="utf-8"?>
<ds:datastoreItem xmlns:ds="http://schemas.openxmlformats.org/officeDocument/2006/customXml" ds:itemID="{FD2EC428-73A9-4925-BC3D-EA994283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147-b669-491e-924a-3e0dc0e597ff"/>
    <ds:schemaRef ds:uri="f61ad96d-ce63-46d8-91be-b5d657bd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18</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Electric Vehicle Fleet Charging Infrastructure Prequalification Scheme</dc:subject>
  <dc:creator>Jennifer Haydon</dc:creator>
  <cp:keywords/>
  <cp:lastModifiedBy>Anita Fonseca</cp:lastModifiedBy>
  <cp:revision>2</cp:revision>
  <cp:lastPrinted>2019-11-24T08:11:00Z</cp:lastPrinted>
  <dcterms:created xsi:type="dcterms:W3CDTF">2023-04-05T02:32:00Z</dcterms:created>
  <dcterms:modified xsi:type="dcterms:W3CDTF">2023-04-05T02:32:00Z</dcterms:modified>
  <cp:category>DOC20/741051</cp:category>
  <cp:contentStatus>NSW Procurement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0x010100F2DC9EDC2A3F584A953B234FDC807CBC</vt:lpwstr>
  </property>
</Properties>
</file>